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A64" w:rsidRPr="00B03A64" w:rsidRDefault="00B03A64" w:rsidP="00B03A64">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B03A64">
        <w:rPr>
          <w:rFonts w:ascii="黑体" w:eastAsia="黑体" w:hAnsi="黑体" w:cs="宋体" w:hint="eastAsia"/>
          <w:color w:val="333333"/>
          <w:sz w:val="24"/>
          <w:szCs w:val="24"/>
        </w:rPr>
        <w:t>北京畜牧兽医研究所201</w:t>
      </w:r>
      <w:r w:rsidR="00AE0365">
        <w:rPr>
          <w:rFonts w:ascii="黑体" w:eastAsia="黑体" w:hAnsi="黑体" w:cs="宋体" w:hint="eastAsia"/>
          <w:color w:val="333333"/>
          <w:sz w:val="24"/>
          <w:szCs w:val="24"/>
        </w:rPr>
        <w:t>5</w:t>
      </w:r>
      <w:r w:rsidRPr="00B03A64">
        <w:rPr>
          <w:rFonts w:ascii="黑体" w:eastAsia="黑体" w:hAnsi="黑体" w:cs="宋体" w:hint="eastAsia"/>
          <w:color w:val="333333"/>
          <w:sz w:val="24"/>
          <w:szCs w:val="24"/>
        </w:rPr>
        <w:t>年“青年英才计划”招聘公告</w:t>
      </w:r>
    </w:p>
    <w:p w:rsidR="00B03A64" w:rsidRDefault="00B03A64" w:rsidP="00AE0365">
      <w:pPr>
        <w:shd w:val="clear" w:color="auto" w:fill="FFFFFF"/>
        <w:adjustRightInd/>
        <w:snapToGrid/>
        <w:spacing w:line="336" w:lineRule="atLeast"/>
        <w:ind w:firstLine="336"/>
        <w:rPr>
          <w:rFonts w:ascii="宋体" w:eastAsia="宋体" w:hAnsi="宋体" w:cs="宋体"/>
          <w:color w:val="1D1D1D"/>
          <w:sz w:val="17"/>
          <w:szCs w:val="17"/>
        </w:rPr>
      </w:pPr>
      <w:r w:rsidRPr="00B03A64">
        <w:rPr>
          <w:rFonts w:ascii="宋体" w:eastAsia="宋体" w:hAnsi="宋体" w:cs="宋体" w:hint="eastAsia"/>
          <w:color w:val="1D1D1D"/>
          <w:sz w:val="17"/>
          <w:szCs w:val="17"/>
        </w:rPr>
        <w:t>中国农业科学院</w:t>
      </w:r>
      <w:hyperlink r:id="rId6" w:tgtFrame="_blank" w:history="1">
        <w:r w:rsidRPr="00B03A64">
          <w:rPr>
            <w:rFonts w:ascii="宋体" w:eastAsia="宋体" w:hAnsi="宋体" w:cs="宋体" w:hint="eastAsia"/>
            <w:color w:val="0000FF"/>
            <w:sz w:val="17"/>
            <w:szCs w:val="17"/>
          </w:rPr>
          <w:t>北京畜牧兽医研究所</w:t>
        </w:r>
      </w:hyperlink>
      <w:r w:rsidRPr="00B03A64">
        <w:rPr>
          <w:rFonts w:ascii="宋体" w:eastAsia="宋体" w:hAnsi="宋体" w:cs="宋体" w:hint="eastAsia"/>
          <w:color w:val="1D1D1D"/>
          <w:sz w:val="17"/>
          <w:szCs w:val="17"/>
        </w:rPr>
        <w:t>成立于1957年，隶属于农业部，是全国综合性畜牧兽医科学研究机构，以畜禽和牧草为主要研究对象，以资源研究和品种培育为基础，以生物技术为手段，以营养与饲养技术研究为保障，以生产优质安全畜禽产品为目标，开展动物遗传资源与育种、动物生物技术与繁殖、动物营养与饲料、畜产品质量与风险评估、草业科学和动物医学六大学科的应用基础、应用和开发研究，着重解决国家全局性、关键性、方向性、基础性的重大科技问题。为了加快建设世界一流科研院所，根据“</w:t>
      </w:r>
      <w:hyperlink r:id="rId7" w:tgtFrame="_blank" w:history="1">
        <w:r w:rsidRPr="00B03A64">
          <w:rPr>
            <w:rFonts w:ascii="宋体" w:eastAsia="宋体" w:hAnsi="宋体" w:cs="宋体" w:hint="eastAsia"/>
            <w:color w:val="0000FF"/>
            <w:sz w:val="17"/>
            <w:szCs w:val="17"/>
          </w:rPr>
          <w:t>中国农业科学院科技创新工程</w:t>
        </w:r>
      </w:hyperlink>
      <w:r w:rsidRPr="00B03A64">
        <w:rPr>
          <w:rFonts w:ascii="宋体" w:eastAsia="宋体" w:hAnsi="宋体" w:cs="宋体" w:hint="eastAsia"/>
          <w:color w:val="1D1D1D"/>
          <w:sz w:val="17"/>
          <w:szCs w:val="17"/>
        </w:rPr>
        <w:t>”和“青年英才计划”相关文件要求，经中国农业科学院批准，面向海内外招聘“青年英才计划”人才，现就有关事项公告如下：</w:t>
      </w:r>
      <w:r w:rsidRPr="00B03A64">
        <w:rPr>
          <w:rFonts w:ascii="宋体" w:eastAsia="宋体" w:hAnsi="宋体" w:cs="宋体" w:hint="eastAsia"/>
          <w:color w:val="1D1D1D"/>
          <w:sz w:val="17"/>
          <w:szCs w:val="17"/>
        </w:rPr>
        <w:br/>
        <w:t xml:space="preserve">　　一、招聘岗位</w:t>
      </w:r>
    </w:p>
    <w:tbl>
      <w:tblPr>
        <w:tblW w:w="8160"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4"/>
        <w:gridCol w:w="2024"/>
        <w:gridCol w:w="1189"/>
        <w:gridCol w:w="2923"/>
      </w:tblGrid>
      <w:tr w:rsidR="00AE0365" w:rsidRPr="00AE0365" w:rsidTr="00AE0365">
        <w:trPr>
          <w:trHeight w:val="540"/>
        </w:trPr>
        <w:tc>
          <w:tcPr>
            <w:tcW w:w="2024" w:type="dxa"/>
            <w:shd w:val="clear" w:color="auto" w:fill="auto"/>
            <w:noWrap/>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Pr>
                <w:rFonts w:ascii="宋体" w:eastAsia="宋体" w:hAnsi="宋体" w:cs="宋体" w:hint="eastAsia"/>
                <w:color w:val="000000"/>
                <w:sz w:val="20"/>
                <w:szCs w:val="20"/>
              </w:rPr>
              <w:t>岗位名称</w:t>
            </w:r>
          </w:p>
        </w:tc>
        <w:tc>
          <w:tcPr>
            <w:tcW w:w="2024" w:type="dxa"/>
            <w:shd w:val="clear" w:color="auto" w:fill="auto"/>
            <w:noWrap/>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Pr>
                <w:rFonts w:ascii="宋体" w:eastAsia="宋体" w:hAnsi="宋体" w:cs="宋体" w:hint="eastAsia"/>
                <w:color w:val="000000"/>
                <w:sz w:val="20"/>
                <w:szCs w:val="20"/>
              </w:rPr>
              <w:t>研究方向</w:t>
            </w:r>
          </w:p>
        </w:tc>
        <w:tc>
          <w:tcPr>
            <w:tcW w:w="1189"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人员类别</w:t>
            </w:r>
          </w:p>
        </w:tc>
        <w:tc>
          <w:tcPr>
            <w:tcW w:w="2923"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Pr>
                <w:rFonts w:ascii="宋体" w:eastAsia="宋体" w:hAnsi="宋体" w:cs="宋体" w:hint="eastAsia"/>
                <w:color w:val="000000"/>
                <w:sz w:val="20"/>
                <w:szCs w:val="20"/>
              </w:rPr>
              <w:t>任职条件</w:t>
            </w:r>
          </w:p>
        </w:tc>
      </w:tr>
      <w:tr w:rsidR="00AE0365" w:rsidRPr="00AE0365" w:rsidTr="00AE0365">
        <w:trPr>
          <w:trHeight w:val="540"/>
        </w:trPr>
        <w:tc>
          <w:tcPr>
            <w:tcW w:w="2024" w:type="dxa"/>
            <w:shd w:val="clear" w:color="auto" w:fill="auto"/>
            <w:noWrap/>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牛遗传育种</w:t>
            </w:r>
          </w:p>
        </w:tc>
        <w:tc>
          <w:tcPr>
            <w:tcW w:w="2024" w:type="dxa"/>
            <w:shd w:val="clear" w:color="auto" w:fill="auto"/>
            <w:noWrap/>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全基因组数据分析</w:t>
            </w:r>
          </w:p>
        </w:tc>
        <w:tc>
          <w:tcPr>
            <w:tcW w:w="1189"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A/D类</w:t>
            </w:r>
          </w:p>
        </w:tc>
        <w:tc>
          <w:tcPr>
            <w:tcW w:w="2923" w:type="dxa"/>
            <w:vMerge w:val="restart"/>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1.热爱畜牧科研事业，具有良好科学道德和学风，有团结协作精神。2.熟悉本学科领域前沿发展动态，有扎实的专业基础知识，独立主持或作为主要骨干参与过课题（项目）研究的全过程并做出显著成绩。有能力带领团队在本领域开展研究并做出具有国际水平的创新成果。3.候选人均需获得博士学位，A类候选人获得博士学位后有连续3年及以上的海外科研工作经历， B类候选人在国内高校或科研院所担任教授（或研究员）职务。全职在岗工作,年龄一般不超过40岁，身体健康，B类候选人如是国家杰出青年科学基金获得者可放宽到45岁左右。4.以第一作者或通讯作者在本领域重要核心刊物发表过有影响的论文3篇（至少有2篇影响因子各6以上，或有一篇影响因子10以上）或拥有重大发明专利、掌握关键技术等。</w:t>
            </w:r>
          </w:p>
        </w:tc>
      </w:tr>
      <w:tr w:rsidR="00AE0365" w:rsidRPr="00AE0365" w:rsidTr="00AE0365">
        <w:trPr>
          <w:trHeight w:val="540"/>
        </w:trPr>
        <w:tc>
          <w:tcPr>
            <w:tcW w:w="2024" w:type="dxa"/>
            <w:shd w:val="clear" w:color="auto" w:fill="auto"/>
            <w:noWrap/>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肉羊遗传育种</w:t>
            </w:r>
          </w:p>
        </w:tc>
        <w:tc>
          <w:tcPr>
            <w:tcW w:w="2024"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羊繁殖性状高通量组学分析</w:t>
            </w:r>
          </w:p>
        </w:tc>
        <w:tc>
          <w:tcPr>
            <w:tcW w:w="1189" w:type="dxa"/>
            <w:shd w:val="clear" w:color="auto" w:fill="auto"/>
            <w:vAlign w:val="center"/>
            <w:hideMark/>
          </w:tcPr>
          <w:p w:rsidR="00AE0365" w:rsidRPr="00AE0365" w:rsidRDefault="00AE0365" w:rsidP="00AE0365">
            <w:pPr>
              <w:adjustRightInd/>
              <w:snapToGrid/>
              <w:spacing w:after="0"/>
              <w:jc w:val="center"/>
              <w:rPr>
                <w:rFonts w:ascii="黑体" w:eastAsia="黑体" w:hAnsi="黑体" w:cs="宋体"/>
                <w:color w:val="000000"/>
                <w:sz w:val="20"/>
                <w:szCs w:val="20"/>
              </w:rPr>
            </w:pPr>
            <w:r w:rsidRPr="00AE0365">
              <w:rPr>
                <w:rFonts w:ascii="黑体" w:eastAsia="黑体" w:hAnsi="黑体" w:cs="宋体" w:hint="eastAsia"/>
                <w:color w:val="000000"/>
                <w:sz w:val="20"/>
                <w:szCs w:val="20"/>
              </w:rPr>
              <w:t>A类</w:t>
            </w:r>
          </w:p>
        </w:tc>
        <w:tc>
          <w:tcPr>
            <w:tcW w:w="2923" w:type="dxa"/>
            <w:vMerge/>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p>
        </w:tc>
      </w:tr>
      <w:tr w:rsidR="00AE0365" w:rsidRPr="00AE0365" w:rsidTr="00AE0365">
        <w:trPr>
          <w:trHeight w:val="540"/>
        </w:trPr>
        <w:tc>
          <w:tcPr>
            <w:tcW w:w="2024" w:type="dxa"/>
            <w:shd w:val="clear" w:color="auto" w:fill="auto"/>
            <w:noWrap/>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猪遗传育种</w:t>
            </w:r>
          </w:p>
        </w:tc>
        <w:tc>
          <w:tcPr>
            <w:tcW w:w="2024"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猪分子遗传</w:t>
            </w:r>
          </w:p>
        </w:tc>
        <w:tc>
          <w:tcPr>
            <w:tcW w:w="1189" w:type="dxa"/>
            <w:shd w:val="clear" w:color="auto" w:fill="auto"/>
            <w:vAlign w:val="center"/>
            <w:hideMark/>
          </w:tcPr>
          <w:p w:rsidR="00AE0365" w:rsidRPr="00AE0365" w:rsidRDefault="00AE0365" w:rsidP="00AE0365">
            <w:pPr>
              <w:adjustRightInd/>
              <w:snapToGrid/>
              <w:spacing w:after="0"/>
              <w:jc w:val="center"/>
              <w:rPr>
                <w:rFonts w:ascii="黑体" w:eastAsia="黑体" w:hAnsi="黑体" w:cs="宋体"/>
                <w:color w:val="000000"/>
                <w:sz w:val="20"/>
                <w:szCs w:val="20"/>
              </w:rPr>
            </w:pPr>
            <w:r w:rsidRPr="00AE0365">
              <w:rPr>
                <w:rFonts w:ascii="黑体" w:eastAsia="黑体" w:hAnsi="黑体" w:cs="宋体" w:hint="eastAsia"/>
                <w:color w:val="000000"/>
                <w:sz w:val="20"/>
                <w:szCs w:val="20"/>
              </w:rPr>
              <w:t>A类</w:t>
            </w:r>
          </w:p>
        </w:tc>
        <w:tc>
          <w:tcPr>
            <w:tcW w:w="2923" w:type="dxa"/>
            <w:vMerge/>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p>
        </w:tc>
      </w:tr>
      <w:tr w:rsidR="00AE0365" w:rsidRPr="00AE0365" w:rsidTr="00AE0365">
        <w:trPr>
          <w:trHeight w:val="540"/>
        </w:trPr>
        <w:tc>
          <w:tcPr>
            <w:tcW w:w="2024" w:type="dxa"/>
            <w:shd w:val="clear" w:color="auto" w:fill="auto"/>
            <w:noWrap/>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家禽遗传育种</w:t>
            </w:r>
          </w:p>
        </w:tc>
        <w:tc>
          <w:tcPr>
            <w:tcW w:w="2024"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家禽育种</w:t>
            </w:r>
          </w:p>
        </w:tc>
        <w:tc>
          <w:tcPr>
            <w:tcW w:w="1189" w:type="dxa"/>
            <w:shd w:val="clear" w:color="auto" w:fill="auto"/>
            <w:vAlign w:val="center"/>
            <w:hideMark/>
          </w:tcPr>
          <w:p w:rsidR="00AE0365" w:rsidRPr="00AE0365" w:rsidRDefault="00AE0365" w:rsidP="00AE0365">
            <w:pPr>
              <w:adjustRightInd/>
              <w:snapToGrid/>
              <w:spacing w:after="0"/>
              <w:jc w:val="center"/>
              <w:rPr>
                <w:rFonts w:ascii="黑体" w:eastAsia="黑体" w:hAnsi="黑体" w:cs="宋体"/>
                <w:color w:val="000000"/>
                <w:sz w:val="20"/>
                <w:szCs w:val="20"/>
              </w:rPr>
            </w:pPr>
            <w:r w:rsidRPr="00AE0365">
              <w:rPr>
                <w:rFonts w:ascii="黑体" w:eastAsia="黑体" w:hAnsi="黑体" w:cs="宋体" w:hint="eastAsia"/>
                <w:color w:val="000000"/>
                <w:sz w:val="20"/>
                <w:szCs w:val="20"/>
              </w:rPr>
              <w:t>D类</w:t>
            </w:r>
          </w:p>
        </w:tc>
        <w:tc>
          <w:tcPr>
            <w:tcW w:w="2923" w:type="dxa"/>
            <w:vMerge/>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p>
        </w:tc>
      </w:tr>
      <w:tr w:rsidR="00AE0365" w:rsidRPr="00AE0365" w:rsidTr="00AE0365">
        <w:trPr>
          <w:trHeight w:val="540"/>
        </w:trPr>
        <w:tc>
          <w:tcPr>
            <w:tcW w:w="2024" w:type="dxa"/>
            <w:shd w:val="clear" w:color="auto" w:fill="auto"/>
            <w:noWrap/>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猪基因工程与种质创新</w:t>
            </w:r>
          </w:p>
        </w:tc>
        <w:tc>
          <w:tcPr>
            <w:tcW w:w="2024" w:type="dxa"/>
            <w:shd w:val="clear" w:color="auto" w:fill="auto"/>
            <w:noWrap/>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猪基因工程</w:t>
            </w:r>
          </w:p>
        </w:tc>
        <w:tc>
          <w:tcPr>
            <w:tcW w:w="1189" w:type="dxa"/>
            <w:shd w:val="clear" w:color="000000" w:fill="FFFFFF"/>
            <w:vAlign w:val="center"/>
            <w:hideMark/>
          </w:tcPr>
          <w:p w:rsidR="00AE0365" w:rsidRPr="00AE0365" w:rsidRDefault="00AE0365" w:rsidP="00AE0365">
            <w:pPr>
              <w:adjustRightInd/>
              <w:snapToGrid/>
              <w:spacing w:after="0"/>
              <w:jc w:val="center"/>
              <w:rPr>
                <w:rFonts w:ascii="黑体" w:eastAsia="黑体" w:hAnsi="黑体" w:cs="宋体"/>
                <w:color w:val="000000"/>
                <w:sz w:val="20"/>
                <w:szCs w:val="20"/>
              </w:rPr>
            </w:pPr>
            <w:r w:rsidRPr="00AE0365">
              <w:rPr>
                <w:rFonts w:ascii="黑体" w:eastAsia="黑体" w:hAnsi="黑体" w:cs="宋体" w:hint="eastAsia"/>
                <w:color w:val="000000"/>
                <w:sz w:val="20"/>
                <w:szCs w:val="20"/>
              </w:rPr>
              <w:t>A类</w:t>
            </w:r>
          </w:p>
        </w:tc>
        <w:tc>
          <w:tcPr>
            <w:tcW w:w="2923" w:type="dxa"/>
            <w:vMerge/>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p>
        </w:tc>
      </w:tr>
      <w:tr w:rsidR="00AE0365" w:rsidRPr="00AE0365" w:rsidTr="00AE0365">
        <w:trPr>
          <w:trHeight w:val="540"/>
        </w:trPr>
        <w:tc>
          <w:tcPr>
            <w:tcW w:w="2024"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宠物疫病防控</w:t>
            </w:r>
          </w:p>
        </w:tc>
        <w:tc>
          <w:tcPr>
            <w:tcW w:w="2024"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宠物疫病防控技术研究</w:t>
            </w:r>
          </w:p>
        </w:tc>
        <w:tc>
          <w:tcPr>
            <w:tcW w:w="1189" w:type="dxa"/>
            <w:shd w:val="clear" w:color="auto" w:fill="auto"/>
            <w:vAlign w:val="center"/>
            <w:hideMark/>
          </w:tcPr>
          <w:p w:rsidR="00AE0365" w:rsidRPr="00AE0365" w:rsidRDefault="00AE0365" w:rsidP="00AE0365">
            <w:pPr>
              <w:adjustRightInd/>
              <w:snapToGrid/>
              <w:spacing w:after="0"/>
              <w:jc w:val="center"/>
              <w:rPr>
                <w:rFonts w:ascii="黑体" w:eastAsia="黑体" w:hAnsi="黑体" w:cs="宋体"/>
                <w:color w:val="000000"/>
                <w:sz w:val="20"/>
                <w:szCs w:val="20"/>
              </w:rPr>
            </w:pPr>
            <w:r w:rsidRPr="00AE0365">
              <w:rPr>
                <w:rFonts w:ascii="黑体" w:eastAsia="黑体" w:hAnsi="黑体" w:cs="宋体" w:hint="eastAsia"/>
                <w:color w:val="000000"/>
                <w:sz w:val="20"/>
                <w:szCs w:val="20"/>
              </w:rPr>
              <w:t>A/B类</w:t>
            </w:r>
          </w:p>
        </w:tc>
        <w:tc>
          <w:tcPr>
            <w:tcW w:w="2923" w:type="dxa"/>
            <w:vMerge/>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p>
        </w:tc>
      </w:tr>
      <w:tr w:rsidR="00AE0365" w:rsidRPr="00AE0365" w:rsidTr="00AE0365">
        <w:trPr>
          <w:trHeight w:val="540"/>
        </w:trPr>
        <w:tc>
          <w:tcPr>
            <w:tcW w:w="2024"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牧草种质资源收集、保护与利用</w:t>
            </w:r>
          </w:p>
        </w:tc>
        <w:tc>
          <w:tcPr>
            <w:tcW w:w="2024"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牧草种质资源精准鉴定和创新利用</w:t>
            </w:r>
          </w:p>
        </w:tc>
        <w:tc>
          <w:tcPr>
            <w:tcW w:w="1189" w:type="dxa"/>
            <w:shd w:val="clear" w:color="auto" w:fill="auto"/>
            <w:vAlign w:val="center"/>
            <w:hideMark/>
          </w:tcPr>
          <w:p w:rsidR="00AE0365" w:rsidRPr="00AE0365" w:rsidRDefault="00AE0365" w:rsidP="00AE0365">
            <w:pPr>
              <w:adjustRightInd/>
              <w:snapToGrid/>
              <w:spacing w:after="0"/>
              <w:jc w:val="center"/>
              <w:rPr>
                <w:rFonts w:ascii="黑体" w:eastAsia="黑体" w:hAnsi="黑体" w:cs="宋体"/>
                <w:color w:val="000000"/>
                <w:sz w:val="20"/>
                <w:szCs w:val="20"/>
              </w:rPr>
            </w:pPr>
            <w:r w:rsidRPr="00AE0365">
              <w:rPr>
                <w:rFonts w:ascii="黑体" w:eastAsia="黑体" w:hAnsi="黑体" w:cs="宋体" w:hint="eastAsia"/>
                <w:color w:val="000000"/>
                <w:sz w:val="20"/>
                <w:szCs w:val="20"/>
              </w:rPr>
              <w:t>A/B类</w:t>
            </w:r>
          </w:p>
        </w:tc>
        <w:tc>
          <w:tcPr>
            <w:tcW w:w="2923" w:type="dxa"/>
            <w:vMerge/>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p>
        </w:tc>
      </w:tr>
      <w:tr w:rsidR="00AE0365" w:rsidRPr="00AE0365" w:rsidTr="00AE0365">
        <w:trPr>
          <w:trHeight w:val="540"/>
        </w:trPr>
        <w:tc>
          <w:tcPr>
            <w:tcW w:w="2024"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牧草遗传育种</w:t>
            </w:r>
          </w:p>
        </w:tc>
        <w:tc>
          <w:tcPr>
            <w:tcW w:w="2024"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牧草遗传育种</w:t>
            </w:r>
          </w:p>
        </w:tc>
        <w:tc>
          <w:tcPr>
            <w:tcW w:w="1189" w:type="dxa"/>
            <w:shd w:val="clear" w:color="auto" w:fill="auto"/>
            <w:vAlign w:val="center"/>
            <w:hideMark/>
          </w:tcPr>
          <w:p w:rsidR="00AE0365" w:rsidRPr="00AE0365" w:rsidRDefault="00AE0365" w:rsidP="00AE0365">
            <w:pPr>
              <w:adjustRightInd/>
              <w:snapToGrid/>
              <w:spacing w:after="0"/>
              <w:jc w:val="center"/>
              <w:rPr>
                <w:rFonts w:ascii="黑体" w:eastAsia="黑体" w:hAnsi="黑体" w:cs="宋体"/>
                <w:color w:val="000000"/>
                <w:sz w:val="20"/>
                <w:szCs w:val="20"/>
              </w:rPr>
            </w:pPr>
            <w:r w:rsidRPr="00AE0365">
              <w:rPr>
                <w:rFonts w:ascii="黑体" w:eastAsia="黑体" w:hAnsi="黑体" w:cs="宋体" w:hint="eastAsia"/>
                <w:color w:val="000000"/>
                <w:sz w:val="20"/>
                <w:szCs w:val="20"/>
              </w:rPr>
              <w:t>A类</w:t>
            </w:r>
          </w:p>
        </w:tc>
        <w:tc>
          <w:tcPr>
            <w:tcW w:w="2923" w:type="dxa"/>
            <w:vMerge/>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p>
        </w:tc>
      </w:tr>
      <w:tr w:rsidR="00AE0365" w:rsidRPr="00AE0365" w:rsidTr="00AE0365">
        <w:trPr>
          <w:trHeight w:val="540"/>
        </w:trPr>
        <w:tc>
          <w:tcPr>
            <w:tcW w:w="2024"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鸡营养评价、代谢与调控</w:t>
            </w:r>
          </w:p>
        </w:tc>
        <w:tc>
          <w:tcPr>
            <w:tcW w:w="2024" w:type="dxa"/>
            <w:shd w:val="clear" w:color="auto" w:fill="auto"/>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蛋鸡营养、蛋鸡营养</w:t>
            </w:r>
          </w:p>
        </w:tc>
        <w:tc>
          <w:tcPr>
            <w:tcW w:w="1189" w:type="dxa"/>
            <w:shd w:val="clear" w:color="auto" w:fill="auto"/>
            <w:vAlign w:val="center"/>
            <w:hideMark/>
          </w:tcPr>
          <w:p w:rsidR="00AE0365" w:rsidRPr="00AE0365" w:rsidRDefault="00AE0365" w:rsidP="00AE0365">
            <w:pPr>
              <w:adjustRightInd/>
              <w:snapToGrid/>
              <w:spacing w:after="0"/>
              <w:jc w:val="center"/>
              <w:rPr>
                <w:rFonts w:ascii="黑体" w:eastAsia="黑体" w:hAnsi="黑体" w:cs="宋体"/>
                <w:color w:val="000000"/>
                <w:sz w:val="20"/>
                <w:szCs w:val="20"/>
              </w:rPr>
            </w:pPr>
            <w:r w:rsidRPr="00AE0365">
              <w:rPr>
                <w:rFonts w:ascii="黑体" w:eastAsia="黑体" w:hAnsi="黑体" w:cs="宋体" w:hint="eastAsia"/>
                <w:color w:val="000000"/>
                <w:sz w:val="20"/>
                <w:szCs w:val="20"/>
              </w:rPr>
              <w:t>A/B/C类</w:t>
            </w:r>
          </w:p>
        </w:tc>
        <w:tc>
          <w:tcPr>
            <w:tcW w:w="2923" w:type="dxa"/>
            <w:vMerge/>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p>
        </w:tc>
      </w:tr>
      <w:tr w:rsidR="00AE0365" w:rsidRPr="00AE0365" w:rsidTr="00AE0365">
        <w:trPr>
          <w:trHeight w:val="540"/>
        </w:trPr>
        <w:tc>
          <w:tcPr>
            <w:tcW w:w="2024" w:type="dxa"/>
            <w:shd w:val="clear" w:color="auto" w:fill="auto"/>
            <w:noWrap/>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奶产品质量与风险评估</w:t>
            </w:r>
          </w:p>
        </w:tc>
        <w:tc>
          <w:tcPr>
            <w:tcW w:w="2024" w:type="dxa"/>
            <w:shd w:val="clear" w:color="auto" w:fill="auto"/>
            <w:noWrap/>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r w:rsidRPr="00AE0365">
              <w:rPr>
                <w:rFonts w:ascii="宋体" w:eastAsia="宋体" w:hAnsi="宋体" w:cs="宋体" w:hint="eastAsia"/>
                <w:color w:val="000000"/>
                <w:sz w:val="20"/>
                <w:szCs w:val="20"/>
              </w:rPr>
              <w:t>奶产品质量与风险评估</w:t>
            </w:r>
          </w:p>
        </w:tc>
        <w:tc>
          <w:tcPr>
            <w:tcW w:w="1189" w:type="dxa"/>
            <w:shd w:val="clear" w:color="auto" w:fill="auto"/>
            <w:vAlign w:val="center"/>
            <w:hideMark/>
          </w:tcPr>
          <w:p w:rsidR="00AE0365" w:rsidRPr="00AE0365" w:rsidRDefault="00AE0365" w:rsidP="00AE0365">
            <w:pPr>
              <w:adjustRightInd/>
              <w:snapToGrid/>
              <w:spacing w:after="0"/>
              <w:jc w:val="center"/>
              <w:rPr>
                <w:rFonts w:ascii="黑体" w:eastAsia="黑体" w:hAnsi="黑体" w:cs="宋体"/>
                <w:color w:val="000000"/>
                <w:sz w:val="20"/>
                <w:szCs w:val="20"/>
              </w:rPr>
            </w:pPr>
            <w:r w:rsidRPr="00AE0365">
              <w:rPr>
                <w:rFonts w:ascii="黑体" w:eastAsia="黑体" w:hAnsi="黑体" w:cs="宋体" w:hint="eastAsia"/>
                <w:color w:val="000000"/>
                <w:sz w:val="20"/>
                <w:szCs w:val="20"/>
              </w:rPr>
              <w:t>A/D类</w:t>
            </w:r>
          </w:p>
        </w:tc>
        <w:tc>
          <w:tcPr>
            <w:tcW w:w="2923" w:type="dxa"/>
            <w:vMerge/>
            <w:vAlign w:val="center"/>
            <w:hideMark/>
          </w:tcPr>
          <w:p w:rsidR="00AE0365" w:rsidRPr="00AE0365" w:rsidRDefault="00AE0365" w:rsidP="00AE0365">
            <w:pPr>
              <w:adjustRightInd/>
              <w:snapToGrid/>
              <w:spacing w:after="0"/>
              <w:jc w:val="center"/>
              <w:rPr>
                <w:rFonts w:ascii="宋体" w:eastAsia="宋体" w:hAnsi="宋体" w:cs="宋体"/>
                <w:color w:val="000000"/>
                <w:sz w:val="20"/>
                <w:szCs w:val="20"/>
              </w:rPr>
            </w:pPr>
          </w:p>
        </w:tc>
      </w:tr>
    </w:tbl>
    <w:p w:rsidR="00AE0365" w:rsidRPr="00B03A64" w:rsidRDefault="00AE0365" w:rsidP="00AE0365">
      <w:pPr>
        <w:shd w:val="clear" w:color="auto" w:fill="FFFFFF"/>
        <w:adjustRightInd/>
        <w:snapToGrid/>
        <w:spacing w:line="336" w:lineRule="atLeast"/>
        <w:ind w:firstLine="336"/>
        <w:rPr>
          <w:rFonts w:ascii="宋体" w:eastAsia="宋体" w:hAnsi="宋体" w:cs="宋体"/>
          <w:color w:val="1D1D1D"/>
          <w:sz w:val="17"/>
          <w:szCs w:val="17"/>
        </w:rPr>
      </w:pPr>
    </w:p>
    <w:p w:rsidR="00B03A64" w:rsidRPr="00B03A64" w:rsidRDefault="00B03A64" w:rsidP="00B03A64">
      <w:pPr>
        <w:shd w:val="clear" w:color="auto" w:fill="FFFFFF"/>
        <w:adjustRightInd/>
        <w:snapToGrid/>
        <w:spacing w:line="336" w:lineRule="atLeast"/>
        <w:rPr>
          <w:rFonts w:ascii="宋体" w:eastAsia="宋体" w:hAnsi="宋体" w:cs="宋体"/>
          <w:color w:val="1D1D1D"/>
          <w:sz w:val="17"/>
          <w:szCs w:val="17"/>
        </w:rPr>
      </w:pPr>
      <w:r w:rsidRPr="00B03A64">
        <w:rPr>
          <w:rFonts w:ascii="宋体" w:eastAsia="宋体" w:hAnsi="宋体" w:cs="宋体" w:hint="eastAsia"/>
          <w:color w:val="1D1D1D"/>
          <w:sz w:val="17"/>
          <w:szCs w:val="17"/>
        </w:rPr>
        <w:t xml:space="preserve">　　二、应聘条件</w:t>
      </w:r>
      <w:r w:rsidRPr="00B03A64">
        <w:rPr>
          <w:rFonts w:ascii="宋体" w:eastAsia="宋体" w:hAnsi="宋体" w:cs="宋体" w:hint="eastAsia"/>
          <w:color w:val="1D1D1D"/>
          <w:sz w:val="17"/>
          <w:szCs w:val="17"/>
        </w:rPr>
        <w:br/>
        <w:t xml:space="preserve">　　“青年英才计划”包括引进海外杰出青年人才（以下简称A类），引进国内优秀青年人才（以下简称B类），“青年千人计划”人才（以下简称C类），研究所自筹经费引进海内外优秀青年人才（以下简称D类）。</w:t>
      </w:r>
      <w:r w:rsidRPr="00B03A64">
        <w:rPr>
          <w:rFonts w:ascii="宋体" w:eastAsia="宋体" w:hAnsi="宋体" w:cs="宋体" w:hint="eastAsia"/>
          <w:color w:val="1D1D1D"/>
          <w:sz w:val="17"/>
          <w:szCs w:val="17"/>
        </w:rPr>
        <w:br/>
        <w:t xml:space="preserve">　　（一） 热爱农业科研事业，具有良好的科学道德和学风，具有团队协作精神。</w:t>
      </w:r>
      <w:r w:rsidRPr="00B03A64">
        <w:rPr>
          <w:rFonts w:ascii="宋体" w:eastAsia="宋体" w:hAnsi="宋体" w:cs="宋体" w:hint="eastAsia"/>
          <w:color w:val="1D1D1D"/>
          <w:sz w:val="17"/>
          <w:szCs w:val="17"/>
        </w:rPr>
        <w:br/>
        <w:t xml:space="preserve">　　（二） 熟悉本学科领域前沿发展动态，有扎实的专业知识基础，独立主持或作为主要骨干参与过课题（项目）研究的全过程并做出显著成绩。有能力带领团队在本领域开展研究并做出具有国际水平的创新成果。</w:t>
      </w:r>
      <w:r w:rsidRPr="00B03A64">
        <w:rPr>
          <w:rFonts w:ascii="宋体" w:eastAsia="宋体" w:hAnsi="宋体" w:cs="宋体" w:hint="eastAsia"/>
          <w:color w:val="1D1D1D"/>
          <w:sz w:val="17"/>
          <w:szCs w:val="17"/>
        </w:rPr>
        <w:br/>
        <w:t xml:space="preserve">　　（三） 全职在岗工作，身心健康。年龄一般不超过40岁，国家杰出青年科学基金获得者（以下简称“国</w:t>
      </w:r>
      <w:r w:rsidRPr="00B03A64">
        <w:rPr>
          <w:rFonts w:ascii="宋体" w:eastAsia="宋体" w:hAnsi="宋体" w:cs="宋体" w:hint="eastAsia"/>
          <w:color w:val="1D1D1D"/>
          <w:sz w:val="17"/>
          <w:szCs w:val="17"/>
        </w:rPr>
        <w:lastRenderedPageBreak/>
        <w:t>家杰青”）年龄可放宽到45岁左右。</w:t>
      </w:r>
      <w:r w:rsidRPr="00B03A64">
        <w:rPr>
          <w:rFonts w:ascii="宋体" w:eastAsia="宋体" w:hAnsi="宋体" w:cs="宋体" w:hint="eastAsia"/>
          <w:color w:val="1D1D1D"/>
          <w:sz w:val="17"/>
          <w:szCs w:val="17"/>
        </w:rPr>
        <w:br/>
        <w:t xml:space="preserve">　　（四） 至少两位国内外相关领域专家推荐，其中A类人才必须有一位国外相关领域专家推荐。</w:t>
      </w:r>
      <w:r w:rsidRPr="00B03A64">
        <w:rPr>
          <w:rFonts w:ascii="宋体" w:eastAsia="宋体" w:hAnsi="宋体" w:cs="宋体" w:hint="eastAsia"/>
          <w:color w:val="1D1D1D"/>
          <w:sz w:val="17"/>
          <w:szCs w:val="17"/>
        </w:rPr>
        <w:br/>
        <w:t xml:space="preserve">　　(五) A类人才获得博士学位后有连续3年及以上的海外科研工作经历，在本学科领域开展了较为系统的研究工作。B类人才应具有博士学位，并在国内高校或科研院所担任教授（或研究员）职务。A类和B类人才须以第一作者或通讯作者在本领域重要核心刊物发表过有影响的论文3篇（至少有2篇影响因子各6以上，或有一篇影响因子10以上），或拥有重大发明专利、掌握关键技术等。</w:t>
      </w:r>
      <w:r w:rsidRPr="00B03A64">
        <w:rPr>
          <w:rFonts w:ascii="宋体" w:eastAsia="宋体" w:hAnsi="宋体" w:cs="宋体" w:hint="eastAsia"/>
          <w:color w:val="1D1D1D"/>
          <w:sz w:val="17"/>
          <w:szCs w:val="17"/>
        </w:rPr>
        <w:br/>
        <w:t xml:space="preserve">　　（六）D类人才是研究所重点发展领域的急需人才，参照前述条件（一）至（五）。</w:t>
      </w:r>
      <w:r w:rsidRPr="00B03A64">
        <w:rPr>
          <w:rFonts w:ascii="宋体" w:eastAsia="宋体" w:hAnsi="宋体" w:cs="宋体" w:hint="eastAsia"/>
          <w:color w:val="1D1D1D"/>
          <w:sz w:val="17"/>
          <w:szCs w:val="17"/>
        </w:rPr>
        <w:br/>
        <w:t xml:space="preserve">　　三、支持经费与享受待遇</w:t>
      </w:r>
      <w:r w:rsidRPr="00B03A64">
        <w:rPr>
          <w:rFonts w:ascii="宋体" w:eastAsia="宋体" w:hAnsi="宋体" w:cs="宋体" w:hint="eastAsia"/>
          <w:color w:val="1D1D1D"/>
          <w:sz w:val="17"/>
          <w:szCs w:val="17"/>
        </w:rPr>
        <w:br/>
        <w:t xml:space="preserve">　　研究所引进的“青年英才计划”人才在到岗工作1年后参加农科院统一评审，确定是否入选“青年英才计划”（A、B）类。入选院“青年英才计划”之前，研究所为其提供100万元科研启动费，享受同等条件正式职工工资福利待遇，可承租研究所提供的两居室周转房。</w:t>
      </w:r>
      <w:r w:rsidRPr="00B03A64">
        <w:rPr>
          <w:rFonts w:ascii="宋体" w:eastAsia="宋体" w:hAnsi="宋体" w:cs="宋体" w:hint="eastAsia"/>
          <w:color w:val="1D1D1D"/>
          <w:sz w:val="17"/>
          <w:szCs w:val="17"/>
        </w:rPr>
        <w:br/>
        <w:t xml:space="preserve">　　入选院“青年英才计划”后，中国农业科学院为A类和B类人才提供200万元科研启动费和100万元仪器设备费，为引进的“国家杰青”提供300万元科研启动费和300万元仪器设备费。按照农科院有关规定执行住房和岗位补助等优惠政策。</w:t>
      </w:r>
      <w:r w:rsidRPr="00B03A64">
        <w:rPr>
          <w:rFonts w:ascii="宋体" w:eastAsia="宋体" w:hAnsi="宋体" w:cs="宋体" w:hint="eastAsia"/>
          <w:color w:val="1D1D1D"/>
          <w:sz w:val="17"/>
          <w:szCs w:val="17"/>
        </w:rPr>
        <w:br/>
        <w:t xml:space="preserve">　　四、招聘程序</w:t>
      </w:r>
      <w:r w:rsidRPr="00B03A64">
        <w:rPr>
          <w:rFonts w:ascii="宋体" w:eastAsia="宋体" w:hAnsi="宋体" w:cs="宋体" w:hint="eastAsia"/>
          <w:color w:val="1D1D1D"/>
          <w:sz w:val="17"/>
          <w:szCs w:val="17"/>
        </w:rPr>
        <w:br/>
        <w:t xml:space="preserve">　　（一） 报名和资格审查</w:t>
      </w:r>
      <w:r w:rsidRPr="00B03A64">
        <w:rPr>
          <w:rFonts w:ascii="宋体" w:eastAsia="宋体" w:hAnsi="宋体" w:cs="宋体" w:hint="eastAsia"/>
          <w:color w:val="1D1D1D"/>
          <w:sz w:val="17"/>
          <w:szCs w:val="17"/>
        </w:rPr>
        <w:br/>
        <w:t xml:space="preserve">　　1、 报名者请提交以下材料：本人身份证、户口薄、学历学位证书、发表论文（权威部门开具的论文检索证明，检索证明须注明影响因子）、《留学回国人员证明》、本人护照（港澳通行证）首页、签证页、所有出入境页复印件、获奖证书、专利发明等有关业绩证明材料复印件，专家推荐信（两封，其中A类人才必须有一封国外相关领域专家推荐信）,《</w:t>
      </w:r>
      <w:r w:rsidR="00AC57E1" w:rsidRPr="00AC57E1">
        <w:rPr>
          <w:rFonts w:ascii="宋体" w:eastAsia="宋体" w:hAnsi="宋体" w:cs="宋体" w:hint="eastAsia"/>
          <w:color w:val="1D1D1D"/>
          <w:sz w:val="17"/>
          <w:szCs w:val="17"/>
        </w:rPr>
        <w:t>中国农业科学院北京畜牧兽医研究所拟引进人才申请表</w:t>
      </w:r>
      <w:r w:rsidRPr="00B03A64">
        <w:rPr>
          <w:rFonts w:ascii="宋体" w:eastAsia="宋体" w:hAnsi="宋体" w:cs="宋体" w:hint="eastAsia"/>
          <w:color w:val="1D1D1D"/>
          <w:sz w:val="17"/>
          <w:szCs w:val="17"/>
        </w:rPr>
        <w:t>》，表中须粘贴电子版近期正面免冠照片。提交的材料务必详尽、真实。</w:t>
      </w:r>
      <w:r w:rsidRPr="00B03A64">
        <w:rPr>
          <w:rFonts w:ascii="宋体" w:eastAsia="宋体" w:hAnsi="宋体" w:cs="宋体" w:hint="eastAsia"/>
          <w:color w:val="1D1D1D"/>
          <w:sz w:val="17"/>
          <w:szCs w:val="17"/>
        </w:rPr>
        <w:br/>
        <w:t xml:space="preserve">　　2、 我所根据报名者提供的书面材料进行资格审查，对通过资格审查的报名人员，通知参加面试。</w:t>
      </w:r>
      <w:r w:rsidRPr="00B03A64">
        <w:rPr>
          <w:rFonts w:ascii="宋体" w:eastAsia="宋体" w:hAnsi="宋体" w:cs="宋体" w:hint="eastAsia"/>
          <w:color w:val="1D1D1D"/>
          <w:sz w:val="17"/>
          <w:szCs w:val="17"/>
        </w:rPr>
        <w:br/>
        <w:t xml:space="preserve">　　（二） 面试</w:t>
      </w:r>
      <w:r w:rsidRPr="00B03A64">
        <w:rPr>
          <w:rFonts w:ascii="宋体" w:eastAsia="宋体" w:hAnsi="宋体" w:cs="宋体" w:hint="eastAsia"/>
          <w:color w:val="1D1D1D"/>
          <w:sz w:val="17"/>
          <w:szCs w:val="17"/>
        </w:rPr>
        <w:br/>
        <w:t xml:space="preserve">　　面试由我所自行组织，参加面试人员、时间、地点另行通知。</w:t>
      </w:r>
      <w:r w:rsidRPr="00B03A64">
        <w:rPr>
          <w:rFonts w:ascii="宋体" w:eastAsia="宋体" w:hAnsi="宋体" w:cs="宋体" w:hint="eastAsia"/>
          <w:color w:val="1D1D1D"/>
          <w:sz w:val="17"/>
          <w:szCs w:val="17"/>
        </w:rPr>
        <w:br/>
        <w:t xml:space="preserve">　　（三） 体检与考察</w:t>
      </w:r>
      <w:r w:rsidRPr="00B03A64">
        <w:rPr>
          <w:rFonts w:ascii="宋体" w:eastAsia="宋体" w:hAnsi="宋体" w:cs="宋体" w:hint="eastAsia"/>
          <w:color w:val="1D1D1D"/>
          <w:sz w:val="17"/>
          <w:szCs w:val="17"/>
        </w:rPr>
        <w:br/>
        <w:t xml:space="preserve">　　根据面试成绩确定参加体检和考察人员，体检和考察工作由我所具体组织，体检或考察不合格的，不予录用。</w:t>
      </w:r>
      <w:r w:rsidRPr="00B03A64">
        <w:rPr>
          <w:rFonts w:ascii="宋体" w:eastAsia="宋体" w:hAnsi="宋体" w:cs="宋体" w:hint="eastAsia"/>
          <w:color w:val="1D1D1D"/>
          <w:sz w:val="17"/>
          <w:szCs w:val="17"/>
        </w:rPr>
        <w:br/>
        <w:t xml:space="preserve">　　（四） 确定录用人选及网上公示</w:t>
      </w:r>
      <w:r w:rsidRPr="00B03A64">
        <w:rPr>
          <w:rFonts w:ascii="宋体" w:eastAsia="宋体" w:hAnsi="宋体" w:cs="宋体" w:hint="eastAsia"/>
          <w:color w:val="1D1D1D"/>
          <w:sz w:val="17"/>
          <w:szCs w:val="17"/>
        </w:rPr>
        <w:br/>
        <w:t xml:space="preserve">　　根据面试成绩、体检和考察情况，研究确定拟录用人员，并公示7个工作日。</w:t>
      </w:r>
      <w:r w:rsidRPr="00B03A64">
        <w:rPr>
          <w:rFonts w:ascii="宋体" w:eastAsia="宋体" w:hAnsi="宋体" w:cs="宋体" w:hint="eastAsia"/>
          <w:color w:val="1D1D1D"/>
          <w:sz w:val="17"/>
          <w:szCs w:val="17"/>
        </w:rPr>
        <w:br/>
        <w:t xml:space="preserve">　　（五） 上报审批</w:t>
      </w:r>
      <w:r w:rsidRPr="00B03A64">
        <w:rPr>
          <w:rFonts w:ascii="宋体" w:eastAsia="宋体" w:hAnsi="宋体" w:cs="宋体" w:hint="eastAsia"/>
          <w:color w:val="1D1D1D"/>
          <w:sz w:val="17"/>
          <w:szCs w:val="17"/>
        </w:rPr>
        <w:br/>
        <w:t xml:space="preserve">　　公示无异议后填报有关申请材料，上报中国农业科学院备案审核，通过备案审核后办理相关聘用手续。</w:t>
      </w:r>
      <w:r w:rsidRPr="00B03A64">
        <w:rPr>
          <w:rFonts w:ascii="宋体" w:eastAsia="宋体" w:hAnsi="宋体" w:cs="宋体" w:hint="eastAsia"/>
          <w:color w:val="1D1D1D"/>
          <w:sz w:val="17"/>
          <w:szCs w:val="17"/>
        </w:rPr>
        <w:br/>
        <w:t xml:space="preserve">　　五、其他事项</w:t>
      </w:r>
      <w:r w:rsidRPr="00B03A64">
        <w:rPr>
          <w:rFonts w:ascii="宋体" w:eastAsia="宋体" w:hAnsi="宋体" w:cs="宋体" w:hint="eastAsia"/>
          <w:color w:val="1D1D1D"/>
          <w:sz w:val="17"/>
          <w:szCs w:val="17"/>
        </w:rPr>
        <w:br/>
        <w:t xml:space="preserve">　　（一） 每位报名者只允许报一个岗位；</w:t>
      </w:r>
      <w:r w:rsidRPr="00B03A64">
        <w:rPr>
          <w:rFonts w:ascii="宋体" w:eastAsia="宋体" w:hAnsi="宋体" w:cs="宋体" w:hint="eastAsia"/>
          <w:color w:val="1D1D1D"/>
          <w:sz w:val="17"/>
          <w:szCs w:val="17"/>
        </w:rPr>
        <w:br/>
        <w:t xml:space="preserve">　　（二） 应聘人员应提供个人真实信息和相关材料，如发现弄虚作假等情况，取消录用资格；</w:t>
      </w:r>
      <w:r w:rsidRPr="00B03A64">
        <w:rPr>
          <w:rFonts w:ascii="宋体" w:eastAsia="宋体" w:hAnsi="宋体" w:cs="宋体" w:hint="eastAsia"/>
          <w:color w:val="1D1D1D"/>
          <w:sz w:val="17"/>
          <w:szCs w:val="17"/>
        </w:rPr>
        <w:br/>
        <w:t xml:space="preserve">　　（三） 我所将通过电话、电子邮件方式另行通知参加面试的具体时间、地点等安排，并同时在我所网站公布，请应聘人员提供准确有效的联系方式，并在招聘期间保持通讯畅通；</w:t>
      </w:r>
      <w:r w:rsidRPr="00B03A64">
        <w:rPr>
          <w:rFonts w:ascii="宋体" w:eastAsia="宋体" w:hAnsi="宋体" w:cs="宋体" w:hint="eastAsia"/>
          <w:color w:val="1D1D1D"/>
          <w:sz w:val="17"/>
          <w:szCs w:val="17"/>
        </w:rPr>
        <w:br/>
        <w:t xml:space="preserve">　　六、联系方式</w:t>
      </w:r>
      <w:r w:rsidRPr="00B03A64">
        <w:rPr>
          <w:rFonts w:ascii="宋体" w:eastAsia="宋体" w:hAnsi="宋体" w:cs="宋体" w:hint="eastAsia"/>
          <w:color w:val="1D1D1D"/>
          <w:sz w:val="17"/>
          <w:szCs w:val="17"/>
        </w:rPr>
        <w:br/>
        <w:t xml:space="preserve">　　联系人：</w:t>
      </w:r>
      <w:r w:rsidR="00AE0365">
        <w:rPr>
          <w:rFonts w:ascii="宋体" w:eastAsia="宋体" w:hAnsi="宋体" w:cs="宋体" w:hint="eastAsia"/>
          <w:color w:val="1D1D1D"/>
          <w:sz w:val="17"/>
          <w:szCs w:val="17"/>
        </w:rPr>
        <w:t>赵文婷</w:t>
      </w:r>
      <w:r w:rsidRPr="00B03A64">
        <w:rPr>
          <w:rFonts w:ascii="宋体" w:eastAsia="宋体" w:hAnsi="宋体" w:cs="宋体" w:hint="eastAsia"/>
          <w:color w:val="1D1D1D"/>
          <w:sz w:val="17"/>
          <w:szCs w:val="17"/>
        </w:rPr>
        <w:t xml:space="preserve"> 郑彦</w:t>
      </w:r>
      <w:r w:rsidRPr="00B03A64">
        <w:rPr>
          <w:rFonts w:ascii="宋体" w:eastAsia="宋体" w:hAnsi="宋体" w:cs="宋体" w:hint="eastAsia"/>
          <w:color w:val="1D1D1D"/>
          <w:sz w:val="17"/>
          <w:szCs w:val="17"/>
        </w:rPr>
        <w:br/>
      </w:r>
      <w:r w:rsidRPr="00B03A64">
        <w:rPr>
          <w:rFonts w:ascii="宋体" w:eastAsia="宋体" w:hAnsi="宋体" w:cs="宋体" w:hint="eastAsia"/>
          <w:color w:val="1D1D1D"/>
          <w:sz w:val="17"/>
          <w:szCs w:val="17"/>
        </w:rPr>
        <w:lastRenderedPageBreak/>
        <w:t xml:space="preserve">　　电话：010-62815854，010-62895371</w:t>
      </w:r>
      <w:r w:rsidRPr="00B03A64">
        <w:rPr>
          <w:rFonts w:ascii="宋体" w:eastAsia="宋体" w:hAnsi="宋体" w:cs="宋体" w:hint="eastAsia"/>
          <w:color w:val="1D1D1D"/>
          <w:sz w:val="17"/>
          <w:szCs w:val="17"/>
        </w:rPr>
        <w:br/>
        <w:t xml:space="preserve">　　地址：北京市海淀区圆明园西路2号院中国农业科学院</w:t>
      </w:r>
      <w:hyperlink r:id="rId8" w:tgtFrame="_blank" w:history="1">
        <w:r w:rsidRPr="00B03A64">
          <w:rPr>
            <w:rFonts w:ascii="宋体" w:eastAsia="宋体" w:hAnsi="宋体" w:cs="宋体" w:hint="eastAsia"/>
            <w:color w:val="0000FF"/>
            <w:sz w:val="17"/>
            <w:szCs w:val="17"/>
          </w:rPr>
          <w:t>北京畜牧兽医研究所</w:t>
        </w:r>
      </w:hyperlink>
      <w:r w:rsidRPr="00B03A64">
        <w:rPr>
          <w:rFonts w:ascii="宋体" w:eastAsia="宋体" w:hAnsi="宋体" w:cs="宋体" w:hint="eastAsia"/>
          <w:color w:val="1D1D1D"/>
          <w:sz w:val="17"/>
          <w:szCs w:val="17"/>
        </w:rPr>
        <w:br/>
        <w:t xml:space="preserve">　　收件： 人事教育处 邮编100193 </w:t>
      </w:r>
      <w:r w:rsidRPr="00B03A64">
        <w:rPr>
          <w:rFonts w:ascii="宋体" w:eastAsia="宋体" w:hAnsi="宋体" w:cs="宋体" w:hint="eastAsia"/>
          <w:color w:val="1D1D1D"/>
          <w:sz w:val="17"/>
          <w:szCs w:val="17"/>
        </w:rPr>
        <w:br/>
        <w:t xml:space="preserve">　　电子邮件：</w:t>
      </w:r>
      <w:hyperlink r:id="rId9" w:history="1">
        <w:r w:rsidRPr="00B03A64">
          <w:rPr>
            <w:rFonts w:ascii="宋体" w:eastAsia="宋体" w:hAnsi="宋体" w:cs="宋体" w:hint="eastAsia"/>
            <w:color w:val="0000FF"/>
            <w:sz w:val="17"/>
            <w:szCs w:val="17"/>
          </w:rPr>
          <w:t>mysrsjy@caas.cn</w:t>
        </w:r>
      </w:hyperlink>
      <w:r w:rsidRPr="00B03A64">
        <w:rPr>
          <w:rFonts w:ascii="宋体" w:eastAsia="宋体" w:hAnsi="宋体" w:cs="宋体" w:hint="eastAsia"/>
          <w:color w:val="1D1D1D"/>
          <w:sz w:val="17"/>
          <w:szCs w:val="17"/>
        </w:rPr>
        <w:t xml:space="preserve"> </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6FB" w:rsidRDefault="007D36FB" w:rsidP="00B03A64">
      <w:pPr>
        <w:spacing w:after="0"/>
      </w:pPr>
      <w:r>
        <w:separator/>
      </w:r>
    </w:p>
  </w:endnote>
  <w:endnote w:type="continuationSeparator" w:id="0">
    <w:p w:rsidR="007D36FB" w:rsidRDefault="007D36FB" w:rsidP="00B03A6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6FB" w:rsidRDefault="007D36FB" w:rsidP="00B03A64">
      <w:pPr>
        <w:spacing w:after="0"/>
      </w:pPr>
      <w:r>
        <w:separator/>
      </w:r>
    </w:p>
  </w:footnote>
  <w:footnote w:type="continuationSeparator" w:id="0">
    <w:p w:rsidR="007D36FB" w:rsidRDefault="007D36FB" w:rsidP="00B03A6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D31D50"/>
    <w:rsid w:val="000609FE"/>
    <w:rsid w:val="00072D53"/>
    <w:rsid w:val="00323B43"/>
    <w:rsid w:val="00381C69"/>
    <w:rsid w:val="003D37D8"/>
    <w:rsid w:val="003F05CC"/>
    <w:rsid w:val="00426133"/>
    <w:rsid w:val="004358AB"/>
    <w:rsid w:val="007D36FB"/>
    <w:rsid w:val="008B7726"/>
    <w:rsid w:val="00AC57E1"/>
    <w:rsid w:val="00AE0365"/>
    <w:rsid w:val="00B03A64"/>
    <w:rsid w:val="00D31D50"/>
    <w:rsid w:val="00F846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03A6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03A64"/>
    <w:rPr>
      <w:rFonts w:ascii="Tahoma" w:hAnsi="Tahoma"/>
      <w:sz w:val="18"/>
      <w:szCs w:val="18"/>
    </w:rPr>
  </w:style>
  <w:style w:type="paragraph" w:styleId="a4">
    <w:name w:val="footer"/>
    <w:basedOn w:val="a"/>
    <w:link w:val="Char0"/>
    <w:uiPriority w:val="99"/>
    <w:semiHidden/>
    <w:unhideWhenUsed/>
    <w:rsid w:val="00B03A64"/>
    <w:pPr>
      <w:tabs>
        <w:tab w:val="center" w:pos="4153"/>
        <w:tab w:val="right" w:pos="8306"/>
      </w:tabs>
    </w:pPr>
    <w:rPr>
      <w:sz w:val="18"/>
      <w:szCs w:val="18"/>
    </w:rPr>
  </w:style>
  <w:style w:type="character" w:customStyle="1" w:styleId="Char0">
    <w:name w:val="页脚 Char"/>
    <w:basedOn w:val="a0"/>
    <w:link w:val="a4"/>
    <w:uiPriority w:val="99"/>
    <w:semiHidden/>
    <w:rsid w:val="00B03A64"/>
    <w:rPr>
      <w:rFonts w:ascii="Tahoma" w:hAnsi="Tahoma"/>
      <w:sz w:val="18"/>
      <w:szCs w:val="18"/>
    </w:rPr>
  </w:style>
  <w:style w:type="paragraph" w:styleId="a5">
    <w:name w:val="Normal (Web)"/>
    <w:basedOn w:val="a"/>
    <w:uiPriority w:val="99"/>
    <w:unhideWhenUsed/>
    <w:rsid w:val="00B03A64"/>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445034751">
      <w:bodyDiv w:val="1"/>
      <w:marLeft w:val="0"/>
      <w:marRight w:val="0"/>
      <w:marTop w:val="0"/>
      <w:marBottom w:val="0"/>
      <w:divBdr>
        <w:top w:val="none" w:sz="0" w:space="0" w:color="auto"/>
        <w:left w:val="none" w:sz="0" w:space="0" w:color="auto"/>
        <w:bottom w:val="none" w:sz="0" w:space="0" w:color="auto"/>
        <w:right w:val="none" w:sz="0" w:space="0" w:color="auto"/>
      </w:divBdr>
      <w:divsChild>
        <w:div w:id="1674798396">
          <w:marLeft w:val="0"/>
          <w:marRight w:val="0"/>
          <w:marTop w:val="0"/>
          <w:marBottom w:val="0"/>
          <w:divBdr>
            <w:top w:val="none" w:sz="0" w:space="0" w:color="auto"/>
            <w:left w:val="none" w:sz="0" w:space="0" w:color="auto"/>
            <w:bottom w:val="none" w:sz="0" w:space="0" w:color="auto"/>
            <w:right w:val="none" w:sz="0" w:space="0" w:color="auto"/>
          </w:divBdr>
          <w:divsChild>
            <w:div w:id="872232272">
              <w:marLeft w:val="0"/>
              <w:marRight w:val="0"/>
              <w:marTop w:val="0"/>
              <w:marBottom w:val="0"/>
              <w:divBdr>
                <w:top w:val="none" w:sz="0" w:space="0" w:color="auto"/>
                <w:left w:val="none" w:sz="0" w:space="0" w:color="auto"/>
                <w:bottom w:val="none" w:sz="0" w:space="0" w:color="auto"/>
                <w:right w:val="none" w:sz="0" w:space="0" w:color="auto"/>
              </w:divBdr>
              <w:divsChild>
                <w:div w:id="649940118">
                  <w:marLeft w:val="0"/>
                  <w:marRight w:val="0"/>
                  <w:marTop w:val="0"/>
                  <w:marBottom w:val="0"/>
                  <w:divBdr>
                    <w:top w:val="none" w:sz="0" w:space="0" w:color="auto"/>
                    <w:left w:val="none" w:sz="0" w:space="0" w:color="auto"/>
                    <w:bottom w:val="none" w:sz="0" w:space="0" w:color="auto"/>
                    <w:right w:val="none" w:sz="0" w:space="0" w:color="auto"/>
                  </w:divBdr>
                  <w:divsChild>
                    <w:div w:id="1922718437">
                      <w:marLeft w:val="0"/>
                      <w:marRight w:val="0"/>
                      <w:marTop w:val="0"/>
                      <w:marBottom w:val="0"/>
                      <w:divBdr>
                        <w:top w:val="none" w:sz="0" w:space="0" w:color="auto"/>
                        <w:left w:val="none" w:sz="0" w:space="0" w:color="auto"/>
                        <w:bottom w:val="none" w:sz="0" w:space="0" w:color="auto"/>
                        <w:right w:val="none" w:sz="0" w:space="0" w:color="auto"/>
                      </w:divBdr>
                      <w:divsChild>
                        <w:div w:id="1438062840">
                          <w:marLeft w:val="120"/>
                          <w:marRight w:val="0"/>
                          <w:marTop w:val="120"/>
                          <w:marBottom w:val="0"/>
                          <w:divBdr>
                            <w:top w:val="none" w:sz="0" w:space="0" w:color="auto"/>
                            <w:left w:val="none" w:sz="0" w:space="0" w:color="auto"/>
                            <w:bottom w:val="none" w:sz="0" w:space="0" w:color="auto"/>
                            <w:right w:val="none" w:sz="0" w:space="0" w:color="auto"/>
                          </w:divBdr>
                        </w:div>
                        <w:div w:id="1090807501">
                          <w:marLeft w:val="0"/>
                          <w:marRight w:val="0"/>
                          <w:marTop w:val="0"/>
                          <w:marBottom w:val="0"/>
                          <w:divBdr>
                            <w:top w:val="none" w:sz="0" w:space="0" w:color="auto"/>
                            <w:left w:val="none" w:sz="0" w:space="0" w:color="auto"/>
                            <w:bottom w:val="none" w:sz="0" w:space="0" w:color="auto"/>
                            <w:right w:val="none" w:sz="0" w:space="0" w:color="auto"/>
                          </w:divBdr>
                          <w:divsChild>
                            <w:div w:id="1790395388">
                              <w:marLeft w:val="120"/>
                              <w:marRight w:val="0"/>
                              <w:marTop w:val="0"/>
                              <w:marBottom w:val="0"/>
                              <w:divBdr>
                                <w:top w:val="none" w:sz="0" w:space="0" w:color="auto"/>
                                <w:left w:val="none" w:sz="0" w:space="0" w:color="auto"/>
                                <w:bottom w:val="none" w:sz="0" w:space="0" w:color="auto"/>
                                <w:right w:val="none" w:sz="0" w:space="0" w:color="auto"/>
                              </w:divBdr>
                              <w:divsChild>
                                <w:div w:id="18090871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34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s.cn/jg/yzgsw/53588.shtml%20" TargetMode="External"/><Relationship Id="rId3" Type="http://schemas.openxmlformats.org/officeDocument/2006/relationships/webSettings" Target="webSettings.xml"/><Relationship Id="rId7" Type="http://schemas.openxmlformats.org/officeDocument/2006/relationships/hyperlink" Target="http://www.caas.cn/kjcxgczl/index.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3588.shtml%2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mysrsjy@caas.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415</Words>
  <Characters>2371</Characters>
  <Application>Microsoft Office Word</Application>
  <DocSecurity>0</DocSecurity>
  <Lines>19</Lines>
  <Paragraphs>5</Paragraphs>
  <ScaleCrop>false</ScaleCrop>
  <Company/>
  <LinksUpToDate>false</LinksUpToDate>
  <CharactersWithSpaces>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4</cp:revision>
  <dcterms:created xsi:type="dcterms:W3CDTF">2008-09-11T17:20:00Z</dcterms:created>
  <dcterms:modified xsi:type="dcterms:W3CDTF">2015-04-23T06:37:00Z</dcterms:modified>
</cp:coreProperties>
</file>