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24"/>
        </w:rPr>
      </w:pPr>
      <w:r>
        <w:rPr>
          <w:rFonts w:hint="eastAsia"/>
          <w:sz w:val="24"/>
        </w:rPr>
        <w:t>附表：</w:t>
      </w:r>
    </w:p>
    <w:p>
      <w:pPr>
        <w:jc w:val="center"/>
        <w:rPr>
          <w:b/>
          <w:sz w:val="24"/>
        </w:rPr>
      </w:pPr>
      <w:r>
        <w:rPr>
          <w:rFonts w:hint="eastAsia"/>
          <w:b/>
          <w:sz w:val="24"/>
        </w:rPr>
        <w:t>2015年度农业部农产品加工重点实验室拟资助开放课题列表</w:t>
      </w:r>
    </w:p>
    <w:tbl>
      <w:tblPr>
        <w:tblStyle w:val="5"/>
        <w:tblpPr w:leftFromText="180" w:rightFromText="180" w:vertAnchor="page" w:horzAnchor="margin" w:tblpX="-176" w:tblpY="2578"/>
        <w:tblW w:w="14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7"/>
        <w:gridCol w:w="2693"/>
        <w:gridCol w:w="993"/>
        <w:gridCol w:w="3827"/>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817" w:type="dxa"/>
            <w:vAlign w:val="top"/>
          </w:tcPr>
          <w:p>
            <w:pPr>
              <w:jc w:val="center"/>
              <w:rPr>
                <w:rFonts w:ascii="华文中宋" w:hAnsi="华文中宋" w:eastAsia="华文中宋"/>
                <w:sz w:val="24"/>
              </w:rPr>
            </w:pPr>
            <w:r>
              <w:rPr>
                <w:rFonts w:hint="eastAsia" w:ascii="华文中宋" w:hAnsi="华文中宋" w:eastAsia="华文中宋"/>
                <w:sz w:val="24"/>
              </w:rPr>
              <w:t>序号</w:t>
            </w:r>
          </w:p>
        </w:tc>
        <w:tc>
          <w:tcPr>
            <w:tcW w:w="2693" w:type="dxa"/>
            <w:vAlign w:val="top"/>
          </w:tcPr>
          <w:p>
            <w:pPr>
              <w:jc w:val="center"/>
              <w:rPr>
                <w:rFonts w:ascii="华文中宋" w:hAnsi="华文中宋" w:eastAsia="华文中宋"/>
                <w:sz w:val="24"/>
              </w:rPr>
            </w:pPr>
            <w:r>
              <w:rPr>
                <w:rFonts w:hint="eastAsia" w:ascii="华文中宋" w:hAnsi="华文中宋" w:eastAsia="华文中宋"/>
                <w:sz w:val="24"/>
              </w:rPr>
              <w:t>申请方向</w:t>
            </w:r>
          </w:p>
        </w:tc>
        <w:tc>
          <w:tcPr>
            <w:tcW w:w="993" w:type="dxa"/>
            <w:vAlign w:val="top"/>
          </w:tcPr>
          <w:p>
            <w:pPr>
              <w:jc w:val="center"/>
              <w:rPr>
                <w:rFonts w:ascii="华文中宋" w:hAnsi="华文中宋" w:eastAsia="华文中宋"/>
                <w:sz w:val="24"/>
              </w:rPr>
            </w:pPr>
            <w:r>
              <w:rPr>
                <w:rFonts w:hint="eastAsia" w:ascii="华文中宋" w:hAnsi="华文中宋" w:eastAsia="华文中宋"/>
                <w:sz w:val="24"/>
              </w:rPr>
              <w:t>申请人</w:t>
            </w:r>
          </w:p>
        </w:tc>
        <w:tc>
          <w:tcPr>
            <w:tcW w:w="3827" w:type="dxa"/>
            <w:vAlign w:val="top"/>
          </w:tcPr>
          <w:p>
            <w:pPr>
              <w:jc w:val="center"/>
              <w:rPr>
                <w:rFonts w:ascii="华文中宋" w:hAnsi="华文中宋" w:eastAsia="华文中宋"/>
                <w:sz w:val="24"/>
              </w:rPr>
            </w:pPr>
            <w:r>
              <w:rPr>
                <w:rFonts w:hint="eastAsia" w:ascii="华文中宋" w:hAnsi="华文中宋" w:eastAsia="华文中宋"/>
                <w:sz w:val="24"/>
              </w:rPr>
              <w:t>申请人单位</w:t>
            </w:r>
          </w:p>
        </w:tc>
        <w:tc>
          <w:tcPr>
            <w:tcW w:w="6271" w:type="dxa"/>
            <w:vAlign w:val="top"/>
          </w:tcPr>
          <w:p>
            <w:pPr>
              <w:jc w:val="center"/>
              <w:rPr>
                <w:rFonts w:ascii="华文中宋" w:hAnsi="华文中宋" w:eastAsia="华文中宋"/>
                <w:sz w:val="24"/>
              </w:rPr>
            </w:pPr>
            <w:r>
              <w:rPr>
                <w:rFonts w:hint="eastAsia" w:ascii="华文中宋" w:hAnsi="华文中宋" w:eastAsia="华文中宋"/>
                <w:sz w:val="24"/>
              </w:rPr>
              <w:t>课题题目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7" w:type="dxa"/>
            <w:vAlign w:val="center"/>
          </w:tcPr>
          <w:p>
            <w:pPr>
              <w:contextualSpacing/>
              <w:jc w:val="center"/>
            </w:pPr>
            <w:r>
              <w:rPr>
                <w:rFonts w:hint="eastAsia"/>
              </w:rPr>
              <w:t>1</w:t>
            </w:r>
          </w:p>
        </w:tc>
        <w:tc>
          <w:tcPr>
            <w:tcW w:w="2693" w:type="dxa"/>
            <w:vMerge w:val="restart"/>
            <w:vAlign w:val="center"/>
          </w:tcPr>
          <w:p>
            <w:pPr>
              <w:contextualSpacing/>
              <w:jc w:val="center"/>
            </w:pPr>
            <w:r>
              <w:rPr>
                <w:rFonts w:hint="eastAsia"/>
                <w:color w:val="000000"/>
                <w:szCs w:val="21"/>
                <w:shd w:val="clear" w:color="auto" w:fill="FFFFFF"/>
              </w:rPr>
              <w:t>蛋白质修饰调控宰后肌肉品质形成机理</w:t>
            </w:r>
          </w:p>
        </w:tc>
        <w:tc>
          <w:tcPr>
            <w:tcW w:w="993" w:type="dxa"/>
            <w:vAlign w:val="center"/>
          </w:tcPr>
          <w:p>
            <w:pPr>
              <w:contextualSpacing/>
              <w:jc w:val="center"/>
            </w:pPr>
            <w:r>
              <w:rPr>
                <w:rFonts w:hint="eastAsia"/>
              </w:rPr>
              <w:t>沈清武</w:t>
            </w:r>
          </w:p>
        </w:tc>
        <w:tc>
          <w:tcPr>
            <w:tcW w:w="3827" w:type="dxa"/>
            <w:vAlign w:val="center"/>
          </w:tcPr>
          <w:p>
            <w:pPr>
              <w:contextualSpacing/>
              <w:jc w:val="center"/>
            </w:pPr>
            <w:r>
              <w:rPr>
                <w:rFonts w:hint="eastAsia"/>
              </w:rPr>
              <w:t>湖南农业大学食品科学技术学院</w:t>
            </w:r>
          </w:p>
        </w:tc>
        <w:tc>
          <w:tcPr>
            <w:tcW w:w="6271" w:type="dxa"/>
            <w:vAlign w:val="center"/>
          </w:tcPr>
          <w:p>
            <w:pPr>
              <w:contextualSpacing/>
            </w:pPr>
            <w:r>
              <w:rPr>
                <w:rFonts w:hint="eastAsia"/>
              </w:rPr>
              <w:t>赖氨酸</w:t>
            </w:r>
            <w:r>
              <w:rPr>
                <w:rFonts w:hint="eastAsia" w:ascii="宋体" w:hAnsi="宋体"/>
              </w:rPr>
              <w:t>ε</w:t>
            </w:r>
            <w:r>
              <w:rPr>
                <w:rFonts w:hint="eastAsia"/>
              </w:rPr>
              <w:t>-氨基乙酰化对糖酵解酶活性和宰后猪肌肉糖酵解的调控作用及机理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7" w:hRule="atLeast"/>
        </w:trPr>
        <w:tc>
          <w:tcPr>
            <w:tcW w:w="817" w:type="dxa"/>
            <w:vAlign w:val="center"/>
          </w:tcPr>
          <w:p>
            <w:pPr>
              <w:contextualSpacing/>
              <w:jc w:val="center"/>
            </w:pPr>
            <w:r>
              <w:rPr>
                <w:rFonts w:hint="eastAsia"/>
              </w:rPr>
              <w:t>2</w:t>
            </w:r>
          </w:p>
        </w:tc>
        <w:tc>
          <w:tcPr>
            <w:tcW w:w="2693" w:type="dxa"/>
            <w:vMerge w:val="continue"/>
            <w:vAlign w:val="center"/>
          </w:tcPr>
          <w:p>
            <w:pPr>
              <w:contextualSpacing/>
              <w:jc w:val="center"/>
            </w:pPr>
          </w:p>
        </w:tc>
        <w:tc>
          <w:tcPr>
            <w:tcW w:w="993" w:type="dxa"/>
            <w:vAlign w:val="center"/>
          </w:tcPr>
          <w:p>
            <w:pPr>
              <w:contextualSpacing/>
              <w:jc w:val="center"/>
              <w:rPr>
                <w:highlight w:val="yellow"/>
              </w:rPr>
            </w:pPr>
            <w:r>
              <w:rPr>
                <w:rFonts w:hint="eastAsia"/>
              </w:rPr>
              <w:t>刘永峰</w:t>
            </w:r>
          </w:p>
        </w:tc>
        <w:tc>
          <w:tcPr>
            <w:tcW w:w="3827" w:type="dxa"/>
            <w:vAlign w:val="center"/>
          </w:tcPr>
          <w:p>
            <w:pPr>
              <w:contextualSpacing/>
              <w:jc w:val="center"/>
            </w:pPr>
            <w:r>
              <w:rPr>
                <w:rFonts w:hint="eastAsia"/>
              </w:rPr>
              <w:t>陕西师范大学食品学院</w:t>
            </w:r>
          </w:p>
        </w:tc>
        <w:tc>
          <w:tcPr>
            <w:tcW w:w="6271" w:type="dxa"/>
            <w:vAlign w:val="center"/>
          </w:tcPr>
          <w:p>
            <w:pPr>
              <w:contextualSpacing/>
            </w:pPr>
            <w:r>
              <w:rPr>
                <w:rFonts w:hint="eastAsia"/>
              </w:rPr>
              <w:t>蛋白质磷酸化修饰调控陕西横山羊肉品质形成机理研究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7" w:hRule="atLeast"/>
        </w:trPr>
        <w:tc>
          <w:tcPr>
            <w:tcW w:w="817" w:type="dxa"/>
            <w:vAlign w:val="center"/>
          </w:tcPr>
          <w:p>
            <w:pPr>
              <w:contextualSpacing/>
              <w:jc w:val="center"/>
            </w:pPr>
            <w:r>
              <w:rPr>
                <w:rFonts w:hint="eastAsia"/>
              </w:rPr>
              <w:t>3</w:t>
            </w:r>
          </w:p>
        </w:tc>
        <w:tc>
          <w:tcPr>
            <w:tcW w:w="2693" w:type="dxa"/>
            <w:vAlign w:val="center"/>
          </w:tcPr>
          <w:p>
            <w:pPr>
              <w:contextualSpacing/>
              <w:jc w:val="center"/>
            </w:pPr>
            <w:r>
              <w:rPr>
                <w:rFonts w:hint="eastAsia"/>
                <w:color w:val="000000"/>
                <w:szCs w:val="21"/>
                <w:shd w:val="clear" w:color="auto" w:fill="FFFFFF"/>
              </w:rPr>
              <w:t>果蔬保鲜、加工技术及品质形成与调控机理</w:t>
            </w:r>
          </w:p>
        </w:tc>
        <w:tc>
          <w:tcPr>
            <w:tcW w:w="993" w:type="dxa"/>
            <w:vAlign w:val="center"/>
          </w:tcPr>
          <w:p>
            <w:pPr>
              <w:contextualSpacing/>
              <w:jc w:val="center"/>
            </w:pPr>
            <w:r>
              <w:rPr>
                <w:rFonts w:hint="eastAsia"/>
              </w:rPr>
              <w:t>孔庆军</w:t>
            </w:r>
          </w:p>
        </w:tc>
        <w:tc>
          <w:tcPr>
            <w:tcW w:w="3827" w:type="dxa"/>
            <w:vAlign w:val="center"/>
          </w:tcPr>
          <w:p>
            <w:pPr>
              <w:contextualSpacing/>
              <w:jc w:val="center"/>
            </w:pPr>
            <w:r>
              <w:rPr>
                <w:rFonts w:hint="eastAsia"/>
              </w:rPr>
              <w:t>陕西师范大学食品学院</w:t>
            </w:r>
          </w:p>
        </w:tc>
        <w:tc>
          <w:tcPr>
            <w:tcW w:w="6271" w:type="dxa"/>
            <w:vAlign w:val="center"/>
          </w:tcPr>
          <w:p>
            <w:pPr>
              <w:contextualSpacing/>
            </w:pPr>
            <w:r>
              <w:rPr>
                <w:rFonts w:hint="eastAsia"/>
              </w:rPr>
              <w:t>葡萄果实品质功能因子Scirpusin A生物合成及其调控的分子机制研究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7" w:type="dxa"/>
            <w:vAlign w:val="center"/>
          </w:tcPr>
          <w:p>
            <w:pPr>
              <w:contextualSpacing/>
              <w:jc w:val="center"/>
            </w:pPr>
            <w:r>
              <w:rPr>
                <w:rFonts w:hint="eastAsia"/>
              </w:rPr>
              <w:t>4</w:t>
            </w:r>
          </w:p>
        </w:tc>
        <w:tc>
          <w:tcPr>
            <w:tcW w:w="2693" w:type="dxa"/>
            <w:vAlign w:val="center"/>
          </w:tcPr>
          <w:p>
            <w:pPr>
              <w:contextualSpacing/>
              <w:jc w:val="center"/>
            </w:pPr>
            <w:r>
              <w:rPr>
                <w:rFonts w:hint="eastAsia"/>
                <w:color w:val="000000"/>
                <w:szCs w:val="21"/>
                <w:shd w:val="clear" w:color="auto" w:fill="FFFFFF"/>
              </w:rPr>
              <w:t>棉籽蛋白精深加工</w:t>
            </w:r>
          </w:p>
        </w:tc>
        <w:tc>
          <w:tcPr>
            <w:tcW w:w="993" w:type="dxa"/>
            <w:vAlign w:val="center"/>
          </w:tcPr>
          <w:p>
            <w:pPr>
              <w:contextualSpacing/>
              <w:jc w:val="center"/>
            </w:pPr>
            <w:r>
              <w:rPr>
                <w:rFonts w:hint="eastAsia"/>
              </w:rPr>
              <w:t>支金虎</w:t>
            </w:r>
          </w:p>
        </w:tc>
        <w:tc>
          <w:tcPr>
            <w:tcW w:w="3827" w:type="dxa"/>
            <w:vAlign w:val="center"/>
          </w:tcPr>
          <w:p>
            <w:pPr>
              <w:contextualSpacing/>
              <w:jc w:val="center"/>
            </w:pPr>
            <w:r>
              <w:rPr>
                <w:rFonts w:hint="eastAsia"/>
              </w:rPr>
              <w:t>新疆阿克苏德佳生物科技肥业有限责任公司/塔里木大学</w:t>
            </w:r>
          </w:p>
        </w:tc>
        <w:tc>
          <w:tcPr>
            <w:tcW w:w="6271" w:type="dxa"/>
            <w:vAlign w:val="center"/>
          </w:tcPr>
          <w:p>
            <w:pPr>
              <w:contextualSpacing/>
            </w:pPr>
            <w:r>
              <w:rPr>
                <w:rFonts w:hint="eastAsia"/>
              </w:rPr>
              <w:t>棉籽蛋白脱酚工艺优化研究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7" w:type="dxa"/>
            <w:vAlign w:val="center"/>
          </w:tcPr>
          <w:p>
            <w:pPr>
              <w:contextualSpacing/>
              <w:jc w:val="center"/>
            </w:pPr>
            <w:r>
              <w:rPr>
                <w:rFonts w:hint="eastAsia"/>
              </w:rPr>
              <w:t>5</w:t>
            </w:r>
          </w:p>
        </w:tc>
        <w:tc>
          <w:tcPr>
            <w:tcW w:w="2693" w:type="dxa"/>
            <w:vAlign w:val="center"/>
          </w:tcPr>
          <w:p>
            <w:pPr>
              <w:contextualSpacing/>
              <w:jc w:val="center"/>
            </w:pPr>
            <w:r>
              <w:rPr>
                <w:rFonts w:hint="eastAsia"/>
                <w:color w:val="000000"/>
                <w:szCs w:val="21"/>
                <w:shd w:val="clear" w:color="auto" w:fill="FFFFFF"/>
              </w:rPr>
              <w:t>棉花主栽品种黄萎病抗性鉴定</w:t>
            </w:r>
          </w:p>
        </w:tc>
        <w:tc>
          <w:tcPr>
            <w:tcW w:w="993" w:type="dxa"/>
            <w:vAlign w:val="center"/>
          </w:tcPr>
          <w:p>
            <w:pPr>
              <w:contextualSpacing/>
              <w:jc w:val="center"/>
            </w:pPr>
            <w:r>
              <w:rPr>
                <w:rFonts w:hint="eastAsia"/>
              </w:rPr>
              <w:t>李松科</w:t>
            </w:r>
          </w:p>
        </w:tc>
        <w:tc>
          <w:tcPr>
            <w:tcW w:w="3827" w:type="dxa"/>
            <w:vAlign w:val="center"/>
          </w:tcPr>
          <w:p>
            <w:pPr>
              <w:contextualSpacing/>
              <w:jc w:val="center"/>
            </w:pPr>
            <w:r>
              <w:rPr>
                <w:rFonts w:hint="eastAsia"/>
              </w:rPr>
              <w:t>河南省新乡市新植农业科技有限公司</w:t>
            </w:r>
          </w:p>
        </w:tc>
        <w:tc>
          <w:tcPr>
            <w:tcW w:w="6271" w:type="dxa"/>
            <w:vAlign w:val="center"/>
          </w:tcPr>
          <w:p>
            <w:pPr>
              <w:contextualSpacing/>
            </w:pPr>
            <w:r>
              <w:rPr>
                <w:rFonts w:hint="eastAsia"/>
              </w:rPr>
              <w:t>棉花抗黄萎病新材料创制及新品种选育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8" w:hRule="atLeast"/>
        </w:trPr>
        <w:tc>
          <w:tcPr>
            <w:tcW w:w="817" w:type="dxa"/>
            <w:vAlign w:val="center"/>
          </w:tcPr>
          <w:p>
            <w:pPr>
              <w:contextualSpacing/>
              <w:jc w:val="center"/>
            </w:pPr>
            <w:r>
              <w:rPr>
                <w:rFonts w:hint="eastAsia"/>
              </w:rPr>
              <w:t>6</w:t>
            </w:r>
          </w:p>
        </w:tc>
        <w:tc>
          <w:tcPr>
            <w:tcW w:w="2693" w:type="dxa"/>
            <w:vAlign w:val="center"/>
          </w:tcPr>
          <w:p>
            <w:pPr>
              <w:contextualSpacing/>
              <w:jc w:val="center"/>
            </w:pPr>
            <w:r>
              <w:rPr>
                <w:rFonts w:hint="eastAsia"/>
                <w:color w:val="000000"/>
                <w:szCs w:val="21"/>
                <w:shd w:val="clear" w:color="auto" w:fill="FFFFFF"/>
              </w:rPr>
              <w:t>基于化学反应的食品安全检测新方法</w:t>
            </w:r>
          </w:p>
        </w:tc>
        <w:tc>
          <w:tcPr>
            <w:tcW w:w="993" w:type="dxa"/>
            <w:vAlign w:val="center"/>
          </w:tcPr>
          <w:p>
            <w:pPr>
              <w:contextualSpacing/>
              <w:jc w:val="center"/>
            </w:pPr>
            <w:r>
              <w:rPr>
                <w:rFonts w:hint="eastAsia"/>
              </w:rPr>
              <w:t>李  照</w:t>
            </w:r>
          </w:p>
        </w:tc>
        <w:tc>
          <w:tcPr>
            <w:tcW w:w="3827" w:type="dxa"/>
            <w:vAlign w:val="center"/>
          </w:tcPr>
          <w:p>
            <w:pPr>
              <w:contextualSpacing/>
              <w:jc w:val="center"/>
            </w:pPr>
            <w:r>
              <w:rPr>
                <w:rFonts w:hint="eastAsia"/>
              </w:rPr>
              <w:t>陕西师范大学食品学院</w:t>
            </w:r>
          </w:p>
        </w:tc>
        <w:tc>
          <w:tcPr>
            <w:tcW w:w="6271" w:type="dxa"/>
            <w:vAlign w:val="center"/>
          </w:tcPr>
          <w:p>
            <w:pPr>
              <w:contextualSpacing/>
            </w:pPr>
            <w:r>
              <w:rPr>
                <w:rFonts w:hint="eastAsia"/>
              </w:rPr>
              <w:t>新型光学探针的设计合成及其在农药残留检测中的应用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1" w:hRule="atLeast"/>
        </w:trPr>
        <w:tc>
          <w:tcPr>
            <w:tcW w:w="817" w:type="dxa"/>
            <w:tcBorders>
              <w:bottom w:val="single" w:color="auto" w:sz="4" w:space="0"/>
            </w:tcBorders>
            <w:vAlign w:val="center"/>
          </w:tcPr>
          <w:p>
            <w:pPr>
              <w:contextualSpacing/>
              <w:jc w:val="center"/>
            </w:pPr>
            <w:r>
              <w:rPr>
                <w:rFonts w:hint="eastAsia"/>
              </w:rPr>
              <w:t>7</w:t>
            </w:r>
          </w:p>
        </w:tc>
        <w:tc>
          <w:tcPr>
            <w:tcW w:w="2693" w:type="dxa"/>
            <w:vMerge w:val="restart"/>
            <w:tcBorders>
              <w:bottom w:val="single" w:color="auto" w:sz="4" w:space="0"/>
            </w:tcBorders>
            <w:vAlign w:val="center"/>
          </w:tcPr>
          <w:p>
            <w:pPr>
              <w:contextualSpacing/>
              <w:jc w:val="center"/>
              <w:rPr>
                <w:color w:val="000000"/>
                <w:szCs w:val="21"/>
                <w:shd w:val="clear" w:color="auto" w:fill="FFFFFF"/>
              </w:rPr>
            </w:pPr>
            <w:r>
              <w:rPr>
                <w:rFonts w:hint="eastAsia"/>
                <w:color w:val="000000"/>
                <w:szCs w:val="21"/>
                <w:shd w:val="clear" w:color="auto" w:fill="FFFFFF"/>
              </w:rPr>
              <w:t>马铃薯面团强筋及营养强化作用</w:t>
            </w:r>
          </w:p>
        </w:tc>
        <w:tc>
          <w:tcPr>
            <w:tcW w:w="993" w:type="dxa"/>
            <w:tcBorders>
              <w:bottom w:val="single" w:color="auto" w:sz="4" w:space="0"/>
            </w:tcBorders>
            <w:vAlign w:val="center"/>
          </w:tcPr>
          <w:p>
            <w:pPr>
              <w:contextualSpacing/>
              <w:jc w:val="center"/>
            </w:pPr>
            <w:r>
              <w:rPr>
                <w:rFonts w:hint="eastAsia"/>
              </w:rPr>
              <w:t>邵红军</w:t>
            </w:r>
          </w:p>
        </w:tc>
        <w:tc>
          <w:tcPr>
            <w:tcW w:w="3827" w:type="dxa"/>
            <w:tcBorders>
              <w:bottom w:val="single" w:color="auto" w:sz="4" w:space="0"/>
            </w:tcBorders>
            <w:vAlign w:val="center"/>
          </w:tcPr>
          <w:p>
            <w:pPr>
              <w:contextualSpacing/>
              <w:jc w:val="center"/>
            </w:pPr>
            <w:r>
              <w:rPr>
                <w:rFonts w:hint="eastAsia"/>
              </w:rPr>
              <w:t>陕西师范大学食品学院</w:t>
            </w:r>
          </w:p>
        </w:tc>
        <w:tc>
          <w:tcPr>
            <w:tcW w:w="6271" w:type="dxa"/>
            <w:tcBorders>
              <w:bottom w:val="single" w:color="auto" w:sz="4" w:space="0"/>
            </w:tcBorders>
            <w:vAlign w:val="center"/>
          </w:tcPr>
          <w:p>
            <w:pPr>
              <w:contextualSpacing/>
            </w:pPr>
            <w:r>
              <w:rPr>
                <w:rFonts w:hint="eastAsia"/>
              </w:rPr>
              <w:t>沙蒿籽多糖调控马铃薯全粉的面团强筋机制及血管营养强化作用研究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7" w:type="dxa"/>
            <w:vAlign w:val="center"/>
          </w:tcPr>
          <w:p>
            <w:pPr>
              <w:contextualSpacing/>
              <w:jc w:val="center"/>
            </w:pPr>
            <w:r>
              <w:rPr>
                <w:rFonts w:hint="eastAsia"/>
              </w:rPr>
              <w:t>8</w:t>
            </w:r>
          </w:p>
        </w:tc>
        <w:tc>
          <w:tcPr>
            <w:tcW w:w="2693" w:type="dxa"/>
            <w:vMerge w:val="continue"/>
            <w:vAlign w:val="center"/>
          </w:tcPr>
          <w:p>
            <w:pPr>
              <w:contextualSpacing/>
              <w:jc w:val="center"/>
              <w:rPr>
                <w:color w:val="000000"/>
                <w:szCs w:val="21"/>
                <w:shd w:val="clear" w:color="auto" w:fill="FFFFFF"/>
              </w:rPr>
            </w:pPr>
          </w:p>
        </w:tc>
        <w:tc>
          <w:tcPr>
            <w:tcW w:w="993" w:type="dxa"/>
            <w:vAlign w:val="center"/>
          </w:tcPr>
          <w:p>
            <w:pPr>
              <w:contextualSpacing/>
              <w:jc w:val="center"/>
            </w:pPr>
            <w:r>
              <w:rPr>
                <w:rFonts w:hint="eastAsia"/>
              </w:rPr>
              <w:t>蒲华寅</w:t>
            </w:r>
          </w:p>
        </w:tc>
        <w:tc>
          <w:tcPr>
            <w:tcW w:w="3827" w:type="dxa"/>
            <w:vAlign w:val="center"/>
          </w:tcPr>
          <w:p>
            <w:pPr>
              <w:contextualSpacing/>
              <w:jc w:val="center"/>
            </w:pPr>
            <w:r>
              <w:rPr>
                <w:rFonts w:hint="eastAsia"/>
              </w:rPr>
              <w:t>陕西农产品加工技术研究院</w:t>
            </w:r>
          </w:p>
        </w:tc>
        <w:tc>
          <w:tcPr>
            <w:tcW w:w="6271" w:type="dxa"/>
            <w:vAlign w:val="center"/>
          </w:tcPr>
          <w:p>
            <w:pPr>
              <w:contextualSpacing/>
            </w:pPr>
            <w:r>
              <w:rPr>
                <w:rFonts w:hint="eastAsia"/>
              </w:rPr>
              <w:t>马铃薯面团强筋及营养强化作用研究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9" w:hRule="atLeast"/>
        </w:trPr>
        <w:tc>
          <w:tcPr>
            <w:tcW w:w="817" w:type="dxa"/>
            <w:vAlign w:val="center"/>
          </w:tcPr>
          <w:p>
            <w:pPr>
              <w:contextualSpacing/>
              <w:jc w:val="center"/>
            </w:pPr>
            <w:r>
              <w:rPr>
                <w:rFonts w:hint="eastAsia"/>
              </w:rPr>
              <w:t>9</w:t>
            </w:r>
          </w:p>
        </w:tc>
        <w:tc>
          <w:tcPr>
            <w:tcW w:w="2693" w:type="dxa"/>
            <w:vMerge w:val="restart"/>
            <w:vAlign w:val="center"/>
          </w:tcPr>
          <w:p>
            <w:pPr>
              <w:contextualSpacing/>
              <w:jc w:val="center"/>
              <w:rPr>
                <w:color w:val="000000"/>
                <w:szCs w:val="21"/>
                <w:shd w:val="clear" w:color="auto" w:fill="FFFFFF"/>
              </w:rPr>
            </w:pPr>
            <w:r>
              <w:rPr>
                <w:rFonts w:hint="eastAsia"/>
                <w:color w:val="000000"/>
                <w:szCs w:val="21"/>
                <w:shd w:val="clear" w:color="auto" w:fill="FFFFFF"/>
              </w:rPr>
              <w:t>大豆功能成分研究与利用</w:t>
            </w:r>
          </w:p>
        </w:tc>
        <w:tc>
          <w:tcPr>
            <w:tcW w:w="993" w:type="dxa"/>
            <w:vAlign w:val="center"/>
          </w:tcPr>
          <w:p>
            <w:pPr>
              <w:contextualSpacing/>
              <w:jc w:val="center"/>
            </w:pPr>
            <w:r>
              <w:rPr>
                <w:rFonts w:hint="eastAsia"/>
              </w:rPr>
              <w:t>袁  莉</w:t>
            </w:r>
          </w:p>
        </w:tc>
        <w:tc>
          <w:tcPr>
            <w:tcW w:w="3827" w:type="dxa"/>
            <w:vAlign w:val="center"/>
          </w:tcPr>
          <w:p>
            <w:pPr>
              <w:contextualSpacing/>
              <w:jc w:val="center"/>
            </w:pPr>
            <w:r>
              <w:rPr>
                <w:rFonts w:hint="eastAsia"/>
              </w:rPr>
              <w:t>陕西师范大学食品学院</w:t>
            </w:r>
          </w:p>
        </w:tc>
        <w:tc>
          <w:tcPr>
            <w:tcW w:w="6271" w:type="dxa"/>
            <w:vAlign w:val="center"/>
          </w:tcPr>
          <w:p>
            <w:pPr>
              <w:contextualSpacing/>
            </w:pPr>
            <w:r>
              <w:rPr>
                <w:rFonts w:hint="eastAsia"/>
              </w:rPr>
              <w:t>大豆小分子肽干预高胆碱饮食诱导血管内皮损伤的作用机制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7" w:type="dxa"/>
            <w:vAlign w:val="center"/>
          </w:tcPr>
          <w:p>
            <w:pPr>
              <w:contextualSpacing/>
              <w:jc w:val="center"/>
            </w:pPr>
            <w:r>
              <w:rPr>
                <w:rFonts w:hint="eastAsia"/>
              </w:rPr>
              <w:t>10</w:t>
            </w:r>
          </w:p>
        </w:tc>
        <w:tc>
          <w:tcPr>
            <w:tcW w:w="2693" w:type="dxa"/>
            <w:vMerge w:val="continue"/>
            <w:vAlign w:val="center"/>
          </w:tcPr>
          <w:p>
            <w:pPr>
              <w:contextualSpacing/>
              <w:jc w:val="center"/>
              <w:rPr>
                <w:color w:val="000000"/>
                <w:szCs w:val="21"/>
                <w:shd w:val="clear" w:color="auto" w:fill="FFFFFF"/>
              </w:rPr>
            </w:pPr>
          </w:p>
        </w:tc>
        <w:tc>
          <w:tcPr>
            <w:tcW w:w="993" w:type="dxa"/>
            <w:vAlign w:val="center"/>
          </w:tcPr>
          <w:p>
            <w:pPr>
              <w:contextualSpacing/>
              <w:jc w:val="center"/>
            </w:pPr>
            <w:r>
              <w:rPr>
                <w:rFonts w:hint="eastAsia"/>
              </w:rPr>
              <w:t>张华峰</w:t>
            </w:r>
          </w:p>
        </w:tc>
        <w:tc>
          <w:tcPr>
            <w:tcW w:w="3827" w:type="dxa"/>
            <w:vAlign w:val="center"/>
          </w:tcPr>
          <w:p>
            <w:pPr>
              <w:contextualSpacing/>
              <w:jc w:val="center"/>
            </w:pPr>
            <w:r>
              <w:rPr>
                <w:rFonts w:hint="eastAsia"/>
              </w:rPr>
              <w:t>陕西师范大学食品学院</w:t>
            </w:r>
          </w:p>
        </w:tc>
        <w:tc>
          <w:tcPr>
            <w:tcW w:w="6271" w:type="dxa"/>
            <w:vAlign w:val="center"/>
          </w:tcPr>
          <w:p>
            <w:pPr>
              <w:contextualSpacing/>
            </w:pPr>
            <w:r>
              <w:rPr>
                <w:rFonts w:hint="eastAsia"/>
              </w:rPr>
              <w:t>大豆加工副产物中抗肿瘤活性成分的分离、鉴定及其作用机理研究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7" w:type="dxa"/>
            <w:vAlign w:val="center"/>
          </w:tcPr>
          <w:p>
            <w:pPr>
              <w:contextualSpacing/>
              <w:jc w:val="center"/>
            </w:pPr>
            <w:r>
              <w:rPr>
                <w:rFonts w:hint="eastAsia"/>
              </w:rPr>
              <w:t>11</w:t>
            </w:r>
          </w:p>
        </w:tc>
        <w:tc>
          <w:tcPr>
            <w:tcW w:w="2693" w:type="dxa"/>
            <w:vAlign w:val="center"/>
          </w:tcPr>
          <w:p>
            <w:pPr>
              <w:contextualSpacing/>
              <w:jc w:val="center"/>
              <w:rPr>
                <w:color w:val="000000"/>
                <w:szCs w:val="21"/>
                <w:shd w:val="clear" w:color="auto" w:fill="FFFFFF"/>
              </w:rPr>
            </w:pPr>
            <w:r>
              <w:rPr>
                <w:rFonts w:hint="eastAsia"/>
                <w:color w:val="000000"/>
                <w:szCs w:val="21"/>
                <w:shd w:val="clear" w:color="auto" w:fill="FFFFFF"/>
              </w:rPr>
              <w:t>食品用酶的基础研究与工业应用</w:t>
            </w:r>
          </w:p>
        </w:tc>
        <w:tc>
          <w:tcPr>
            <w:tcW w:w="993" w:type="dxa"/>
            <w:vAlign w:val="center"/>
          </w:tcPr>
          <w:p>
            <w:pPr>
              <w:contextualSpacing/>
              <w:jc w:val="center"/>
            </w:pPr>
            <w:r>
              <w:rPr>
                <w:rFonts w:hint="eastAsia"/>
              </w:rPr>
              <w:t>俞亚东</w:t>
            </w:r>
          </w:p>
        </w:tc>
        <w:tc>
          <w:tcPr>
            <w:tcW w:w="3827" w:type="dxa"/>
            <w:vAlign w:val="center"/>
          </w:tcPr>
          <w:p>
            <w:pPr>
              <w:contextualSpacing/>
              <w:jc w:val="center"/>
            </w:pPr>
            <w:r>
              <w:rPr>
                <w:rFonts w:hint="eastAsia"/>
              </w:rPr>
              <w:t>南京工业大学</w:t>
            </w:r>
          </w:p>
        </w:tc>
        <w:tc>
          <w:tcPr>
            <w:tcW w:w="6271" w:type="dxa"/>
            <w:vAlign w:val="center"/>
          </w:tcPr>
          <w:p>
            <w:pPr>
              <w:contextualSpacing/>
            </w:pPr>
            <w:r>
              <w:rPr>
                <w:rFonts w:hint="eastAsia"/>
              </w:rPr>
              <w:t>基于谷氨酸脱氢酶与</w:t>
            </w:r>
            <w:r>
              <w:t>二维纳米材料的高灵敏</w:t>
            </w:r>
            <w:r>
              <w:rPr>
                <w:rFonts w:hint="eastAsia"/>
              </w:rPr>
              <w:t>α-酮戊二酸检测</w:t>
            </w:r>
            <w:r>
              <w:t>生物传感器</w:t>
            </w:r>
            <w:r>
              <w:rPr>
                <w:rFonts w:hint="eastAsia"/>
              </w:rPr>
              <w:t>的构建</w:t>
            </w:r>
            <w:r>
              <w:t>与</w:t>
            </w:r>
            <w:r>
              <w:rPr>
                <w:rFonts w:hint="eastAsia"/>
              </w:rPr>
              <w:t>应用</w:t>
            </w:r>
          </w:p>
        </w:tc>
      </w:tr>
    </w:tbl>
    <w:p>
      <w:pPr>
        <w:jc w:val="center"/>
      </w:pPr>
    </w:p>
    <w:p>
      <w:bookmarkStart w:id="0" w:name="_GoBack"/>
      <w:bookmarkEnd w:id="0"/>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10A51"/>
    <w:rsid w:val="0014700C"/>
    <w:rsid w:val="00221196"/>
    <w:rsid w:val="00573D22"/>
    <w:rsid w:val="00610A51"/>
    <w:rsid w:val="00FF3C69"/>
    <w:rsid w:val="782A49C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105</Words>
  <Characters>600</Characters>
  <Lines>5</Lines>
  <Paragraphs>1</Paragraphs>
  <TotalTime>0</TotalTime>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2015-07-14T08:05:00Z</dcterms:created>
  <dc:creator>zmj</dc:creator>
  <cp:lastModifiedBy>Administrator</cp:lastModifiedBy>
  <dcterms:modified xsi:type="dcterms:W3CDTF">2015-07-14T09:27:24Z</dcterms:modified>
  <dc:title>附表：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